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line="360" w:lineRule="auto"/>
        <w:ind w:firstLine="723"/>
        <w:jc w:val="center"/>
        <w:rPr>
          <w:rFonts w:ascii="Times New Roman" w:hAnsi="Times New Roman" w:eastAsia="黑体"/>
          <w:b/>
          <w:sz w:val="36"/>
          <w:szCs w:val="36"/>
        </w:rPr>
      </w:pPr>
    </w:p>
    <w:p>
      <w:pPr>
        <w:adjustRightInd w:val="0"/>
        <w:snapToGrid w:val="0"/>
        <w:spacing w:before="156" w:beforeLines="50" w:line="360" w:lineRule="auto"/>
        <w:ind w:firstLine="723"/>
        <w:jc w:val="center"/>
        <w:rPr>
          <w:rFonts w:ascii="Times New Roman" w:hAnsi="Times New Roman" w:eastAsia="黑体"/>
          <w:b/>
          <w:sz w:val="36"/>
          <w:szCs w:val="36"/>
        </w:rPr>
      </w:pPr>
    </w:p>
    <w:p>
      <w:pPr>
        <w:adjustRightInd w:val="0"/>
        <w:snapToGrid w:val="0"/>
        <w:spacing w:before="156" w:beforeLines="50" w:line="360" w:lineRule="auto"/>
        <w:ind w:firstLine="723"/>
        <w:jc w:val="center"/>
        <w:rPr>
          <w:rFonts w:ascii="Times New Roman" w:hAnsi="Times New Roman" w:eastAsia="黑体"/>
          <w:b/>
          <w:sz w:val="36"/>
          <w:szCs w:val="36"/>
        </w:rPr>
      </w:pPr>
    </w:p>
    <w:p>
      <w:pPr>
        <w:adjustRightInd w:val="0"/>
        <w:snapToGrid w:val="0"/>
        <w:spacing w:before="156" w:beforeLines="50" w:line="360" w:lineRule="auto"/>
        <w:ind w:firstLine="723"/>
        <w:jc w:val="center"/>
        <w:rPr>
          <w:rFonts w:ascii="Times New Roman" w:hAnsi="Times New Roman" w:eastAsia="黑体"/>
          <w:b/>
          <w:sz w:val="36"/>
          <w:szCs w:val="36"/>
        </w:rPr>
      </w:pPr>
    </w:p>
    <w:p>
      <w:pPr>
        <w:pStyle w:val="52"/>
        <w:rPr>
          <w:rFonts w:ascii="黑体" w:hAnsi="黑体" w:eastAsia="黑体"/>
          <w:b/>
        </w:rPr>
      </w:pPr>
      <w:r>
        <w:rPr>
          <w:rFonts w:hint="eastAsia" w:ascii="黑体" w:hAnsi="黑体" w:eastAsia="黑体"/>
          <w:b/>
        </w:rPr>
        <w:t>东阳市磁性电子产业</w:t>
      </w:r>
    </w:p>
    <w:p>
      <w:pPr>
        <w:pStyle w:val="52"/>
        <w:rPr>
          <w:rFonts w:ascii="黑体" w:hAnsi="黑体" w:eastAsia="黑体"/>
          <w:b/>
        </w:rPr>
      </w:pPr>
      <w:r>
        <w:rPr>
          <w:rFonts w:hint="eastAsia" w:ascii="黑体" w:hAnsi="黑体" w:eastAsia="黑体"/>
          <w:b/>
        </w:rPr>
        <w:t>“十三五”发展规划</w:t>
      </w:r>
    </w:p>
    <w:p>
      <w:pPr>
        <w:ind w:firstLine="881"/>
        <w:jc w:val="center"/>
        <w:rPr>
          <w:rFonts w:ascii="Times New Roman" w:hAnsi="Times New Roman" w:eastAsia="华文中宋"/>
          <w:b/>
          <w:sz w:val="44"/>
          <w:szCs w:val="44"/>
        </w:rPr>
      </w:pPr>
    </w:p>
    <w:p>
      <w:pPr>
        <w:ind w:firstLine="881"/>
        <w:jc w:val="center"/>
        <w:rPr>
          <w:rFonts w:ascii="Times New Roman" w:hAnsi="Times New Roman" w:eastAsia="华文中宋"/>
          <w:b/>
          <w:sz w:val="44"/>
          <w:szCs w:val="44"/>
        </w:rPr>
      </w:pPr>
    </w:p>
    <w:p>
      <w:pPr>
        <w:ind w:firstLine="881"/>
        <w:jc w:val="center"/>
        <w:rPr>
          <w:rFonts w:ascii="Times New Roman" w:hAnsi="Times New Roman" w:eastAsia="华文中宋"/>
          <w:b/>
          <w:sz w:val="44"/>
          <w:szCs w:val="44"/>
        </w:rPr>
      </w:pPr>
    </w:p>
    <w:p>
      <w:pPr>
        <w:ind w:firstLine="881"/>
        <w:jc w:val="center"/>
        <w:rPr>
          <w:rFonts w:ascii="Times New Roman" w:hAnsi="Times New Roman" w:eastAsia="华文中宋"/>
          <w:b/>
          <w:sz w:val="44"/>
          <w:szCs w:val="44"/>
        </w:rPr>
      </w:pPr>
    </w:p>
    <w:p>
      <w:pPr>
        <w:ind w:firstLine="881"/>
        <w:jc w:val="center"/>
        <w:rPr>
          <w:rFonts w:ascii="Times New Roman" w:hAnsi="Times New Roman" w:eastAsia="华文中宋"/>
          <w:b/>
          <w:sz w:val="44"/>
          <w:szCs w:val="44"/>
        </w:rPr>
      </w:pPr>
    </w:p>
    <w:p>
      <w:pPr>
        <w:ind w:firstLine="881"/>
        <w:jc w:val="center"/>
        <w:rPr>
          <w:rFonts w:ascii="Times New Roman" w:hAnsi="Times New Roman" w:eastAsia="华文中宋"/>
          <w:b/>
          <w:sz w:val="44"/>
          <w:szCs w:val="44"/>
        </w:rPr>
      </w:pPr>
    </w:p>
    <w:p>
      <w:pPr>
        <w:ind w:firstLine="881"/>
        <w:rPr>
          <w:rFonts w:ascii="Times New Roman" w:hAnsi="Times New Roman" w:eastAsia="华文中宋"/>
          <w:b/>
          <w:sz w:val="44"/>
          <w:szCs w:val="44"/>
        </w:rPr>
      </w:pPr>
    </w:p>
    <w:p>
      <w:pPr>
        <w:ind w:firstLine="881"/>
        <w:rPr>
          <w:rFonts w:ascii="Times New Roman" w:hAnsi="Times New Roman" w:eastAsia="华文中宋"/>
          <w:b/>
          <w:sz w:val="44"/>
          <w:szCs w:val="44"/>
        </w:rPr>
      </w:pPr>
    </w:p>
    <w:p>
      <w:pPr>
        <w:ind w:firstLine="881"/>
        <w:rPr>
          <w:rFonts w:ascii="Times New Roman" w:hAnsi="Times New Roman" w:eastAsia="华文中宋"/>
          <w:b/>
          <w:sz w:val="44"/>
          <w:szCs w:val="44"/>
        </w:rPr>
      </w:pPr>
    </w:p>
    <w:p>
      <w:pPr>
        <w:snapToGrid w:val="0"/>
        <w:spacing w:before="156" w:beforeLines="50"/>
        <w:ind w:firstLine="723"/>
        <w:jc w:val="center"/>
        <w:rPr>
          <w:rFonts w:ascii="黑体" w:hAnsi="黑体" w:eastAsia="黑体"/>
          <w:b/>
          <w:sz w:val="36"/>
          <w:szCs w:val="36"/>
        </w:rPr>
      </w:pPr>
      <w:r>
        <w:rPr>
          <w:rFonts w:hint="eastAsia" w:ascii="黑体" w:hAnsi="黑体" w:eastAsia="黑体"/>
          <w:b/>
          <w:sz w:val="36"/>
          <w:szCs w:val="36"/>
        </w:rPr>
        <w:t>东阳市人民政府</w:t>
      </w:r>
    </w:p>
    <w:p>
      <w:pPr>
        <w:snapToGrid w:val="0"/>
        <w:spacing w:before="156" w:beforeLines="50"/>
        <w:ind w:firstLine="723"/>
        <w:jc w:val="center"/>
        <w:rPr>
          <w:rFonts w:ascii="黑体" w:hAnsi="黑体" w:eastAsia="黑体"/>
          <w:b/>
          <w:sz w:val="36"/>
          <w:szCs w:val="36"/>
        </w:rPr>
      </w:pPr>
      <w:r>
        <w:rPr>
          <w:rFonts w:ascii="黑体" w:hAnsi="黑体" w:eastAsia="黑体"/>
          <w:b/>
          <w:sz w:val="36"/>
          <w:szCs w:val="36"/>
        </w:rPr>
        <w:t>二〇一</w:t>
      </w:r>
      <w:r>
        <w:rPr>
          <w:rFonts w:hint="eastAsia" w:ascii="黑体" w:hAnsi="黑体" w:eastAsia="黑体"/>
          <w:b/>
          <w:sz w:val="36"/>
          <w:szCs w:val="36"/>
        </w:rPr>
        <w:t>七</w:t>
      </w:r>
      <w:r>
        <w:rPr>
          <w:rFonts w:ascii="黑体" w:hAnsi="黑体" w:eastAsia="黑体"/>
          <w:b/>
          <w:sz w:val="36"/>
          <w:szCs w:val="36"/>
        </w:rPr>
        <w:t>年</w:t>
      </w:r>
      <w:r>
        <w:rPr>
          <w:rFonts w:hint="eastAsia" w:ascii="黑体" w:hAnsi="黑体" w:eastAsia="黑体"/>
          <w:b/>
          <w:sz w:val="36"/>
          <w:szCs w:val="36"/>
        </w:rPr>
        <w:t>二</w:t>
      </w:r>
      <w:r>
        <w:rPr>
          <w:rFonts w:ascii="黑体" w:hAnsi="黑体" w:eastAsia="黑体"/>
          <w:b/>
          <w:sz w:val="36"/>
          <w:szCs w:val="36"/>
        </w:rPr>
        <w:t>月</w:t>
      </w:r>
    </w:p>
    <w:p>
      <w:pPr>
        <w:snapToGrid w:val="0"/>
        <w:spacing w:before="156" w:beforeLines="50"/>
        <w:ind w:firstLine="720"/>
        <w:jc w:val="center"/>
        <w:rPr>
          <w:rFonts w:ascii="Times New Roman" w:hAnsi="Times New Roman" w:eastAsia="楷体_GB2312"/>
          <w:sz w:val="36"/>
          <w:szCs w:val="36"/>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pPr>
        <w:snapToGrid w:val="0"/>
        <w:spacing w:before="156" w:beforeLines="50"/>
        <w:ind w:firstLine="720"/>
        <w:jc w:val="center"/>
        <w:rPr>
          <w:rFonts w:ascii="Times New Roman" w:hAnsi="Times New Roman" w:eastAsia="楷体_GB2312"/>
          <w:sz w:val="36"/>
          <w:szCs w:val="36"/>
        </w:rPr>
        <w:sectPr>
          <w:pgSz w:w="11906" w:h="16838"/>
          <w:pgMar w:top="1440" w:right="1800" w:bottom="1440" w:left="1800" w:header="851" w:footer="992" w:gutter="0"/>
          <w:cols w:space="425" w:num="1"/>
          <w:docGrid w:type="lines" w:linePitch="312" w:charSpace="0"/>
        </w:sectPr>
      </w:pPr>
    </w:p>
    <w:p>
      <w:pPr>
        <w:snapToGrid w:val="0"/>
        <w:spacing w:before="156" w:beforeLines="50"/>
        <w:ind w:firstLine="880"/>
        <w:jc w:val="center"/>
        <w:outlineLvl w:val="5"/>
        <w:rPr>
          <w:rFonts w:ascii="Times New Roman" w:hAnsi="Times New Roman" w:eastAsia="黑体"/>
          <w:sz w:val="44"/>
          <w:szCs w:val="36"/>
        </w:rPr>
      </w:pPr>
      <w:r>
        <w:rPr>
          <w:rFonts w:ascii="Times New Roman" w:hAnsi="Times New Roman" w:eastAsia="黑体"/>
          <w:sz w:val="44"/>
          <w:szCs w:val="36"/>
        </w:rPr>
        <w:t>目  录</w:t>
      </w:r>
    </w:p>
    <w:p>
      <w:pPr>
        <w:pStyle w:val="32"/>
        <w:spacing w:line="560" w:lineRule="exact"/>
        <w:ind w:firstLine="0" w:firstLineChars="0"/>
        <w:rPr>
          <w:rFonts w:ascii="Times New Roman" w:hAnsi="Times New Roman"/>
        </w:rPr>
      </w:pPr>
    </w:p>
    <w:p>
      <w:pPr>
        <w:pStyle w:val="39"/>
        <w:rPr>
          <w:rFonts w:asciiTheme="minorHAnsi" w:hAnsiTheme="minorHAnsi" w:eastAsiaTheme="minorEastAsia" w:cstheme="minorBidi"/>
          <w:sz w:val="21"/>
          <w:szCs w:val="22"/>
        </w:rPr>
      </w:pPr>
      <w:r>
        <w:rPr>
          <w:rStyle w:val="18"/>
          <w:b w:val="0"/>
          <w:color w:val="auto"/>
        </w:rPr>
        <w:fldChar w:fldCharType="begin"/>
      </w:r>
      <w:r>
        <w:rPr>
          <w:rStyle w:val="18"/>
          <w:b w:val="0"/>
          <w:color w:val="auto"/>
        </w:rPr>
        <w:instrText xml:space="preserve"> TOC \o "1-2" \h \z \u </w:instrText>
      </w:r>
      <w:r>
        <w:rPr>
          <w:rStyle w:val="18"/>
          <w:b w:val="0"/>
          <w:color w:val="auto"/>
        </w:rPr>
        <w:fldChar w:fldCharType="separate"/>
      </w:r>
      <w:r>
        <w:fldChar w:fldCharType="begin"/>
      </w:r>
      <w:r>
        <w:instrText xml:space="preserve"> HYPERLINK \l "_Toc475457336" </w:instrText>
      </w:r>
      <w:r>
        <w:fldChar w:fldCharType="separate"/>
      </w:r>
      <w:r>
        <w:rPr>
          <w:rStyle w:val="18"/>
        </w:rPr>
        <w:t>一、发展现状</w:t>
      </w:r>
      <w:r>
        <w:tab/>
      </w:r>
      <w:r>
        <w:fldChar w:fldCharType="begin"/>
      </w:r>
      <w:r>
        <w:instrText xml:space="preserve"> PAGEREF _Toc475457336 \h </w:instrText>
      </w:r>
      <w:r>
        <w:fldChar w:fldCharType="separate"/>
      </w:r>
      <w:r>
        <w:t>1</w:t>
      </w:r>
      <w:r>
        <w:fldChar w:fldCharType="end"/>
      </w:r>
      <w:r>
        <w:fldChar w:fldCharType="end"/>
      </w:r>
    </w:p>
    <w:p>
      <w:pPr>
        <w:pStyle w:val="39"/>
        <w:ind w:firstLine="643" w:firstLineChars="200"/>
        <w:rPr>
          <w:rFonts w:asciiTheme="minorHAnsi" w:hAnsiTheme="minorHAnsi" w:eastAsiaTheme="minorEastAsia" w:cstheme="minorBidi"/>
          <w:b w:val="0"/>
          <w:sz w:val="21"/>
          <w:szCs w:val="22"/>
        </w:rPr>
      </w:pPr>
      <w:r>
        <w:fldChar w:fldCharType="begin"/>
      </w:r>
      <w:r>
        <w:instrText xml:space="preserve"> HYPERLINK \l "_Toc475457337" </w:instrText>
      </w:r>
      <w:r>
        <w:fldChar w:fldCharType="separate"/>
      </w:r>
      <w:r>
        <w:rPr>
          <w:rStyle w:val="18"/>
          <w:b w:val="0"/>
        </w:rPr>
        <w:t>（一）发展基础</w:t>
      </w:r>
      <w:r>
        <w:rPr>
          <w:b w:val="0"/>
        </w:rPr>
        <w:tab/>
      </w:r>
      <w:r>
        <w:rPr>
          <w:b w:val="0"/>
        </w:rPr>
        <w:fldChar w:fldCharType="begin"/>
      </w:r>
      <w:r>
        <w:rPr>
          <w:b w:val="0"/>
        </w:rPr>
        <w:instrText xml:space="preserve"> PAGEREF _Toc475457337 \h </w:instrText>
      </w:r>
      <w:r>
        <w:rPr>
          <w:b w:val="0"/>
        </w:rPr>
        <w:fldChar w:fldCharType="separate"/>
      </w:r>
      <w:r>
        <w:rPr>
          <w:b w:val="0"/>
        </w:rPr>
        <w:t>1</w:t>
      </w:r>
      <w:r>
        <w:rPr>
          <w:b w:val="0"/>
        </w:rPr>
        <w:fldChar w:fldCharType="end"/>
      </w:r>
      <w:r>
        <w:rPr>
          <w:b w:val="0"/>
        </w:rPr>
        <w:fldChar w:fldCharType="end"/>
      </w:r>
    </w:p>
    <w:p>
      <w:pPr>
        <w:pStyle w:val="39"/>
        <w:ind w:firstLine="643" w:firstLineChars="200"/>
        <w:rPr>
          <w:rStyle w:val="18"/>
          <w:b w:val="0"/>
        </w:rPr>
      </w:pPr>
      <w:r>
        <w:fldChar w:fldCharType="begin"/>
      </w:r>
      <w:r>
        <w:instrText xml:space="preserve"> HYPERLINK \l "_Toc475457338" </w:instrText>
      </w:r>
      <w:r>
        <w:fldChar w:fldCharType="separate"/>
      </w:r>
      <w:r>
        <w:rPr>
          <w:rStyle w:val="18"/>
          <w:b w:val="0"/>
        </w:rPr>
        <w:t>（二）优势与机遇</w:t>
      </w:r>
      <w:r>
        <w:rPr>
          <w:rStyle w:val="18"/>
          <w:b w:val="0"/>
        </w:rPr>
        <w:tab/>
      </w:r>
      <w:r>
        <w:rPr>
          <w:rStyle w:val="18"/>
          <w:b w:val="0"/>
        </w:rPr>
        <w:fldChar w:fldCharType="begin"/>
      </w:r>
      <w:r>
        <w:rPr>
          <w:rStyle w:val="18"/>
          <w:b w:val="0"/>
        </w:rPr>
        <w:instrText xml:space="preserve"> PAGEREF _Toc475457338 \h </w:instrText>
      </w:r>
      <w:r>
        <w:rPr>
          <w:rStyle w:val="18"/>
          <w:b w:val="0"/>
        </w:rPr>
        <w:fldChar w:fldCharType="separate"/>
      </w:r>
      <w:r>
        <w:rPr>
          <w:rStyle w:val="18"/>
          <w:b w:val="0"/>
        </w:rPr>
        <w:t>4</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"_Toc475457339" </w:instrText>
      </w:r>
      <w:r>
        <w:fldChar w:fldCharType="separate"/>
      </w:r>
      <w:r>
        <w:rPr>
          <w:rStyle w:val="18"/>
          <w:b w:val="0"/>
        </w:rPr>
        <w:t>（三）短板与挑战</w:t>
      </w:r>
      <w:r>
        <w:rPr>
          <w:rStyle w:val="18"/>
          <w:b w:val="0"/>
        </w:rPr>
        <w:tab/>
      </w:r>
      <w:r>
        <w:rPr>
          <w:rStyle w:val="18"/>
          <w:b w:val="0"/>
        </w:rPr>
        <w:fldChar w:fldCharType="begin"/>
      </w:r>
      <w:r>
        <w:rPr>
          <w:rStyle w:val="18"/>
          <w:b w:val="0"/>
        </w:rPr>
        <w:instrText xml:space="preserve"> PAGEREF _Toc475457339 \h </w:instrText>
      </w:r>
      <w:r>
        <w:rPr>
          <w:rStyle w:val="18"/>
          <w:b w:val="0"/>
        </w:rPr>
        <w:fldChar w:fldCharType="separate"/>
      </w:r>
      <w:r>
        <w:rPr>
          <w:rStyle w:val="18"/>
          <w:b w:val="0"/>
        </w:rPr>
        <w:t>6</w:t>
      </w:r>
      <w:r>
        <w:rPr>
          <w:rStyle w:val="18"/>
          <w:b w:val="0"/>
        </w:rPr>
        <w:fldChar w:fldCharType="end"/>
      </w:r>
      <w:r>
        <w:rPr>
          <w:rStyle w:val="18"/>
          <w:b w:val="0"/>
        </w:rPr>
        <w:fldChar w:fldCharType="end"/>
      </w:r>
    </w:p>
    <w:p>
      <w:pPr>
        <w:pStyle w:val="39"/>
        <w:rPr>
          <w:rFonts w:asciiTheme="minorHAnsi" w:hAnsiTheme="minorHAnsi" w:eastAsiaTheme="minorEastAsia" w:cstheme="minorBidi"/>
          <w:sz w:val="21"/>
          <w:szCs w:val="22"/>
        </w:rPr>
      </w:pPr>
      <w:r>
        <w:fldChar w:fldCharType="begin"/>
      </w:r>
      <w:r>
        <w:instrText xml:space="preserve"> HYPERLINK \l "_Toc475457340" </w:instrText>
      </w:r>
      <w:r>
        <w:fldChar w:fldCharType="separate"/>
      </w:r>
      <w:r>
        <w:rPr>
          <w:rStyle w:val="18"/>
        </w:rPr>
        <w:t>二、东阳磁性电子产业发展的总体要求</w:t>
      </w:r>
      <w:r>
        <w:tab/>
      </w:r>
      <w:r>
        <w:fldChar w:fldCharType="begin"/>
      </w:r>
      <w:r>
        <w:instrText xml:space="preserve"> PAGEREF _Toc475457340 \h </w:instrText>
      </w:r>
      <w:r>
        <w:fldChar w:fldCharType="separate"/>
      </w:r>
      <w:r>
        <w:t>9</w:t>
      </w:r>
      <w:r>
        <w:fldChar w:fldCharType="end"/>
      </w:r>
      <w:r>
        <w:fldChar w:fldCharType="end"/>
      </w:r>
    </w:p>
    <w:p>
      <w:pPr>
        <w:pStyle w:val="39"/>
        <w:ind w:firstLine="643" w:firstLineChars="200"/>
        <w:rPr>
          <w:rStyle w:val="18"/>
          <w:b w:val="0"/>
        </w:rPr>
      </w:pPr>
      <w:r>
        <w:fldChar w:fldCharType="begin"/>
      </w:r>
      <w:r>
        <w:instrText xml:space="preserve"> HYPERLINK \l "_Toc475457341" </w:instrText>
      </w:r>
      <w:r>
        <w:fldChar w:fldCharType="separate"/>
      </w:r>
      <w:r>
        <w:rPr>
          <w:rStyle w:val="18"/>
          <w:b w:val="0"/>
        </w:rPr>
        <w:t>（一）指导思想</w:t>
      </w:r>
      <w:r>
        <w:rPr>
          <w:rStyle w:val="18"/>
          <w:b w:val="0"/>
        </w:rPr>
        <w:tab/>
      </w:r>
      <w:r>
        <w:rPr>
          <w:rStyle w:val="18"/>
          <w:b w:val="0"/>
        </w:rPr>
        <w:fldChar w:fldCharType="begin"/>
      </w:r>
      <w:r>
        <w:rPr>
          <w:rStyle w:val="18"/>
          <w:b w:val="0"/>
        </w:rPr>
        <w:instrText xml:space="preserve"> PAGEREF _Toc475457341 \h </w:instrText>
      </w:r>
      <w:r>
        <w:rPr>
          <w:rStyle w:val="18"/>
          <w:b w:val="0"/>
        </w:rPr>
        <w:fldChar w:fldCharType="separate"/>
      </w:r>
      <w:r>
        <w:rPr>
          <w:rStyle w:val="18"/>
          <w:b w:val="0"/>
        </w:rPr>
        <w:t>9</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"_Toc475457342" </w:instrText>
      </w:r>
      <w:r>
        <w:fldChar w:fldCharType="separate"/>
      </w:r>
      <w:r>
        <w:rPr>
          <w:rStyle w:val="18"/>
          <w:b w:val="0"/>
        </w:rPr>
        <w:t>（二）战略定位</w:t>
      </w:r>
      <w:r>
        <w:rPr>
          <w:rStyle w:val="18"/>
          <w:b w:val="0"/>
        </w:rPr>
        <w:tab/>
      </w:r>
      <w:r>
        <w:rPr>
          <w:rStyle w:val="18"/>
          <w:b w:val="0"/>
        </w:rPr>
        <w:fldChar w:fldCharType="begin"/>
      </w:r>
      <w:r>
        <w:rPr>
          <w:rStyle w:val="18"/>
          <w:b w:val="0"/>
        </w:rPr>
        <w:instrText xml:space="preserve"> PAGEREF _Toc475457342 \h </w:instrText>
      </w:r>
      <w:r>
        <w:rPr>
          <w:rStyle w:val="18"/>
          <w:b w:val="0"/>
        </w:rPr>
        <w:fldChar w:fldCharType="separate"/>
      </w:r>
      <w:r>
        <w:rPr>
          <w:rStyle w:val="18"/>
          <w:b w:val="0"/>
        </w:rPr>
        <w:t>9</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"_Toc475457343" </w:instrText>
      </w:r>
      <w:r>
        <w:fldChar w:fldCharType="separate"/>
      </w:r>
      <w:r>
        <w:rPr>
          <w:rStyle w:val="18"/>
          <w:b w:val="0"/>
        </w:rPr>
        <w:t>（三）基本原则</w:t>
      </w:r>
      <w:r>
        <w:rPr>
          <w:rStyle w:val="18"/>
          <w:b w:val="0"/>
        </w:rPr>
        <w:tab/>
      </w:r>
      <w:r>
        <w:rPr>
          <w:rStyle w:val="18"/>
          <w:b w:val="0"/>
        </w:rPr>
        <w:fldChar w:fldCharType="begin"/>
      </w:r>
      <w:r>
        <w:rPr>
          <w:rStyle w:val="18"/>
          <w:b w:val="0"/>
        </w:rPr>
        <w:instrText xml:space="preserve"> PAGEREF _Toc475457343 \h </w:instrText>
      </w:r>
      <w:r>
        <w:rPr>
          <w:rStyle w:val="18"/>
          <w:b w:val="0"/>
        </w:rPr>
        <w:fldChar w:fldCharType="separate"/>
      </w:r>
      <w:r>
        <w:rPr>
          <w:rStyle w:val="18"/>
          <w:b w:val="0"/>
        </w:rPr>
        <w:t>10</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"_Toc475457344" </w:instrText>
      </w:r>
      <w:r>
        <w:fldChar w:fldCharType="separate"/>
      </w:r>
      <w:r>
        <w:rPr>
          <w:rStyle w:val="18"/>
          <w:b w:val="0"/>
        </w:rPr>
        <w:t>（四）主要目标</w:t>
      </w:r>
      <w:r>
        <w:rPr>
          <w:rStyle w:val="18"/>
          <w:b w:val="0"/>
        </w:rPr>
        <w:tab/>
      </w:r>
      <w:r>
        <w:rPr>
          <w:rStyle w:val="18"/>
          <w:b w:val="0"/>
        </w:rPr>
        <w:fldChar w:fldCharType="begin"/>
      </w:r>
      <w:r>
        <w:rPr>
          <w:rStyle w:val="18"/>
          <w:b w:val="0"/>
        </w:rPr>
        <w:instrText xml:space="preserve"> PAGEREF _Toc475457344 \h </w:instrText>
      </w:r>
      <w:r>
        <w:rPr>
          <w:rStyle w:val="18"/>
          <w:b w:val="0"/>
        </w:rPr>
        <w:fldChar w:fldCharType="separate"/>
      </w:r>
      <w:r>
        <w:rPr>
          <w:rStyle w:val="18"/>
          <w:b w:val="0"/>
        </w:rPr>
        <w:t>11</w:t>
      </w:r>
      <w:r>
        <w:rPr>
          <w:rStyle w:val="18"/>
          <w:b w:val="0"/>
        </w:rPr>
        <w:fldChar w:fldCharType="end"/>
      </w:r>
      <w:r>
        <w:rPr>
          <w:rStyle w:val="18"/>
          <w:b w:val="0"/>
        </w:rPr>
        <w:fldChar w:fldCharType="end"/>
      </w:r>
    </w:p>
    <w:p>
      <w:pPr>
        <w:pStyle w:val="39"/>
        <w:rPr>
          <w:rFonts w:asciiTheme="minorHAnsi" w:hAnsiTheme="minorHAnsi" w:eastAsiaTheme="minorEastAsia" w:cstheme="minorBidi"/>
          <w:sz w:val="21"/>
          <w:szCs w:val="22"/>
        </w:rPr>
      </w:pPr>
      <w:r>
        <w:fldChar w:fldCharType="begin"/>
      </w:r>
      <w:r>
        <w:instrText xml:space="preserve"> HYPERLINK \l "_Toc475457345" </w:instrText>
      </w:r>
      <w:r>
        <w:fldChar w:fldCharType="separate"/>
      </w:r>
      <w:r>
        <w:rPr>
          <w:rStyle w:val="18"/>
        </w:rPr>
        <w:t>三、东阳磁性电子产业发展重点和空间布局</w:t>
      </w:r>
      <w:r>
        <w:tab/>
      </w:r>
      <w:r>
        <w:fldChar w:fldCharType="begin"/>
      </w:r>
      <w:r>
        <w:instrText xml:space="preserve"> PAGEREF _Toc475457345 \h </w:instrText>
      </w:r>
      <w:r>
        <w:fldChar w:fldCharType="separate"/>
      </w:r>
      <w:r>
        <w:t>14</w:t>
      </w:r>
      <w:r>
        <w:fldChar w:fldCharType="end"/>
      </w:r>
      <w:r>
        <w:fldChar w:fldCharType="end"/>
      </w:r>
    </w:p>
    <w:p>
      <w:pPr>
        <w:pStyle w:val="39"/>
        <w:ind w:firstLine="643" w:firstLineChars="200"/>
        <w:rPr>
          <w:rStyle w:val="18"/>
          <w:b w:val="0"/>
        </w:rPr>
      </w:pPr>
      <w:r>
        <w:fldChar w:fldCharType="begin"/>
      </w:r>
      <w:r>
        <w:instrText xml:space="preserve"> HYPERLINK \l "_Toc475457346" </w:instrText>
      </w:r>
      <w:r>
        <w:fldChar w:fldCharType="separate"/>
      </w:r>
      <w:r>
        <w:rPr>
          <w:rStyle w:val="18"/>
          <w:b w:val="0"/>
        </w:rPr>
        <w:t>（一）发展重点</w:t>
      </w:r>
      <w:r>
        <w:rPr>
          <w:rStyle w:val="18"/>
          <w:b w:val="0"/>
        </w:rPr>
        <w:tab/>
      </w:r>
      <w:r>
        <w:rPr>
          <w:rStyle w:val="18"/>
          <w:b w:val="0"/>
        </w:rPr>
        <w:fldChar w:fldCharType="begin"/>
      </w:r>
      <w:r>
        <w:rPr>
          <w:rStyle w:val="18"/>
          <w:b w:val="0"/>
        </w:rPr>
        <w:instrText xml:space="preserve"> PAGEREF _Toc475457346 \h </w:instrText>
      </w:r>
      <w:r>
        <w:rPr>
          <w:rStyle w:val="18"/>
          <w:b w:val="0"/>
        </w:rPr>
        <w:fldChar w:fldCharType="separate"/>
      </w:r>
      <w:r>
        <w:rPr>
          <w:rStyle w:val="18"/>
          <w:b w:val="0"/>
        </w:rPr>
        <w:t>14</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"_Toc475457347" </w:instrText>
      </w:r>
      <w:r>
        <w:fldChar w:fldCharType="separate"/>
      </w:r>
      <w:r>
        <w:rPr>
          <w:rStyle w:val="18"/>
          <w:b w:val="0"/>
        </w:rPr>
        <w:t>（二）空间布局</w:t>
      </w:r>
      <w:r>
        <w:rPr>
          <w:rStyle w:val="18"/>
          <w:b w:val="0"/>
        </w:rPr>
        <w:tab/>
      </w:r>
      <w:r>
        <w:rPr>
          <w:rStyle w:val="18"/>
          <w:b w:val="0"/>
        </w:rPr>
        <w:fldChar w:fldCharType="begin"/>
      </w:r>
      <w:r>
        <w:rPr>
          <w:rStyle w:val="18"/>
          <w:b w:val="0"/>
        </w:rPr>
        <w:instrText xml:space="preserve"> PAGEREF _Toc475457347 \h </w:instrText>
      </w:r>
      <w:r>
        <w:rPr>
          <w:rStyle w:val="18"/>
          <w:b w:val="0"/>
        </w:rPr>
        <w:fldChar w:fldCharType="separate"/>
      </w:r>
      <w:r>
        <w:rPr>
          <w:rStyle w:val="18"/>
          <w:b w:val="0"/>
        </w:rPr>
        <w:t>17</w:t>
      </w:r>
      <w:r>
        <w:rPr>
          <w:rStyle w:val="18"/>
          <w:b w:val="0"/>
        </w:rPr>
        <w:fldChar w:fldCharType="end"/>
      </w:r>
      <w:r>
        <w:rPr>
          <w:rStyle w:val="18"/>
          <w:b w:val="0"/>
        </w:rPr>
        <w:fldChar w:fldCharType="end"/>
      </w:r>
    </w:p>
    <w:p>
      <w:pPr>
        <w:pStyle w:val="39"/>
        <w:rPr>
          <w:rFonts w:asciiTheme="minorHAnsi" w:hAnsiTheme="minorHAnsi" w:eastAsiaTheme="minorEastAsia" w:cstheme="minorBidi"/>
          <w:sz w:val="21"/>
          <w:szCs w:val="22"/>
        </w:rPr>
      </w:pPr>
      <w:r>
        <w:fldChar w:fldCharType="begin"/>
      </w:r>
      <w:r>
        <w:instrText xml:space="preserve"> HYPERLINK \l "_Toc475457348" </w:instrText>
      </w:r>
      <w:r>
        <w:fldChar w:fldCharType="separate"/>
      </w:r>
      <w:r>
        <w:rPr>
          <w:rStyle w:val="18"/>
        </w:rPr>
        <w:t>四、东阳磁性电子产业发展的主要任务</w:t>
      </w:r>
      <w:r>
        <w:tab/>
      </w:r>
      <w:r>
        <w:fldChar w:fldCharType="begin"/>
      </w:r>
      <w:r>
        <w:instrText xml:space="preserve"> PAGEREF _Toc475457348 \h </w:instrText>
      </w:r>
      <w:r>
        <w:fldChar w:fldCharType="separate"/>
      </w:r>
      <w:r>
        <w:t>19</w:t>
      </w:r>
      <w:r>
        <w:fldChar w:fldCharType="end"/>
      </w:r>
      <w:r>
        <w:fldChar w:fldCharType="end"/>
      </w:r>
    </w:p>
    <w:p>
      <w:pPr>
        <w:pStyle w:val="39"/>
        <w:ind w:firstLine="643" w:firstLineChars="200"/>
        <w:rPr>
          <w:rStyle w:val="18"/>
          <w:b w:val="0"/>
        </w:rPr>
      </w:pPr>
      <w:r>
        <w:fldChar w:fldCharType="begin"/>
      </w:r>
      <w:r>
        <w:instrText xml:space="preserve"> HYPERLINK \l "_Toc475457349" </w:instrText>
      </w:r>
      <w:r>
        <w:fldChar w:fldCharType="separate"/>
      </w:r>
      <w:r>
        <w:rPr>
          <w:rStyle w:val="18"/>
          <w:b w:val="0"/>
        </w:rPr>
        <w:t>（一）强化创新引领，提升技术水平</w:t>
      </w:r>
      <w:r>
        <w:rPr>
          <w:rStyle w:val="18"/>
          <w:b w:val="0"/>
        </w:rPr>
        <w:tab/>
      </w:r>
      <w:r>
        <w:rPr>
          <w:rStyle w:val="18"/>
          <w:b w:val="0"/>
        </w:rPr>
        <w:fldChar w:fldCharType="begin"/>
      </w:r>
      <w:r>
        <w:rPr>
          <w:rStyle w:val="18"/>
          <w:b w:val="0"/>
        </w:rPr>
        <w:instrText xml:space="preserve"> PAGEREF _Toc475457349 \h </w:instrText>
      </w:r>
      <w:r>
        <w:rPr>
          <w:rStyle w:val="18"/>
          <w:b w:val="0"/>
        </w:rPr>
        <w:fldChar w:fldCharType="separate"/>
      </w:r>
      <w:r>
        <w:rPr>
          <w:rStyle w:val="18"/>
          <w:b w:val="0"/>
        </w:rPr>
        <w:t>19</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"_Toc475457350" </w:instrText>
      </w:r>
      <w:r>
        <w:fldChar w:fldCharType="separate"/>
      </w:r>
      <w:r>
        <w:rPr>
          <w:rStyle w:val="18"/>
          <w:b w:val="0"/>
        </w:rPr>
        <w:t>（二）推行智能制造，提升生产水平</w:t>
      </w:r>
      <w:r>
        <w:rPr>
          <w:rStyle w:val="18"/>
          <w:b w:val="0"/>
        </w:rPr>
        <w:tab/>
      </w:r>
      <w:r>
        <w:rPr>
          <w:rStyle w:val="18"/>
          <w:b w:val="0"/>
        </w:rPr>
        <w:fldChar w:fldCharType="begin"/>
      </w:r>
      <w:r>
        <w:rPr>
          <w:rStyle w:val="18"/>
          <w:b w:val="0"/>
        </w:rPr>
        <w:instrText xml:space="preserve"> PAGEREF _Toc475457350 \h </w:instrText>
      </w:r>
      <w:r>
        <w:rPr>
          <w:rStyle w:val="18"/>
          <w:b w:val="0"/>
        </w:rPr>
        <w:fldChar w:fldCharType="separate"/>
      </w:r>
      <w:r>
        <w:rPr>
          <w:rStyle w:val="18"/>
          <w:b w:val="0"/>
        </w:rPr>
        <w:t>21</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"_Toc475457351" </w:instrText>
      </w:r>
      <w:r>
        <w:fldChar w:fldCharType="separate"/>
      </w:r>
      <w:r>
        <w:rPr>
          <w:rStyle w:val="18"/>
          <w:b w:val="0"/>
        </w:rPr>
        <w:t>（三）推进企业培育，提升核心竞争力</w:t>
      </w:r>
      <w:r>
        <w:rPr>
          <w:rStyle w:val="18"/>
          <w:b w:val="0"/>
        </w:rPr>
        <w:tab/>
      </w:r>
      <w:r>
        <w:rPr>
          <w:rStyle w:val="18"/>
          <w:b w:val="0"/>
        </w:rPr>
        <w:fldChar w:fldCharType="begin"/>
      </w:r>
      <w:r>
        <w:rPr>
          <w:rStyle w:val="18"/>
          <w:b w:val="0"/>
        </w:rPr>
        <w:instrText xml:space="preserve"> PAGEREF _Toc475457351 \h </w:instrText>
      </w:r>
      <w:r>
        <w:rPr>
          <w:rStyle w:val="18"/>
          <w:b w:val="0"/>
        </w:rPr>
        <w:fldChar w:fldCharType="separate"/>
      </w:r>
      <w:r>
        <w:rPr>
          <w:rStyle w:val="18"/>
          <w:b w:val="0"/>
        </w:rPr>
        <w:t>22</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"_Toc475457352" </w:instrText>
      </w:r>
      <w:r>
        <w:fldChar w:fldCharType="separate"/>
      </w:r>
      <w:r>
        <w:rPr>
          <w:rStyle w:val="18"/>
          <w:b w:val="0"/>
        </w:rPr>
        <w:t>（四）突出标准建设，提升品牌影响力</w:t>
      </w:r>
      <w:r>
        <w:rPr>
          <w:rStyle w:val="18"/>
          <w:b w:val="0"/>
        </w:rPr>
        <w:tab/>
      </w:r>
      <w:r>
        <w:rPr>
          <w:rStyle w:val="18"/>
          <w:b w:val="0"/>
        </w:rPr>
        <w:fldChar w:fldCharType="begin"/>
      </w:r>
      <w:r>
        <w:rPr>
          <w:rStyle w:val="18"/>
          <w:b w:val="0"/>
        </w:rPr>
        <w:instrText xml:space="preserve"> PAGEREF _Toc475457352 \h </w:instrText>
      </w:r>
      <w:r>
        <w:rPr>
          <w:rStyle w:val="18"/>
          <w:b w:val="0"/>
        </w:rPr>
        <w:fldChar w:fldCharType="separate"/>
      </w:r>
      <w:r>
        <w:rPr>
          <w:rStyle w:val="18"/>
          <w:b w:val="0"/>
        </w:rPr>
        <w:t>24</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"_Toc475457353" </w:instrText>
      </w:r>
      <w:r>
        <w:fldChar w:fldCharType="separate"/>
      </w:r>
      <w:r>
        <w:rPr>
          <w:rStyle w:val="18"/>
          <w:b w:val="0"/>
        </w:rPr>
        <w:t>（五）重视招商选资，提升产业层次</w:t>
      </w:r>
      <w:r>
        <w:rPr>
          <w:rStyle w:val="18"/>
          <w:b w:val="0"/>
        </w:rPr>
        <w:tab/>
      </w:r>
      <w:r>
        <w:rPr>
          <w:rStyle w:val="18"/>
          <w:b w:val="0"/>
        </w:rPr>
        <w:fldChar w:fldCharType="begin"/>
      </w:r>
      <w:r>
        <w:rPr>
          <w:rStyle w:val="18"/>
          <w:b w:val="0"/>
        </w:rPr>
        <w:instrText xml:space="preserve"> PAGEREF _Toc475457353 \h </w:instrText>
      </w:r>
      <w:r>
        <w:rPr>
          <w:rStyle w:val="18"/>
          <w:b w:val="0"/>
        </w:rPr>
        <w:fldChar w:fldCharType="separate"/>
      </w:r>
      <w:r>
        <w:rPr>
          <w:rStyle w:val="18"/>
          <w:b w:val="0"/>
        </w:rPr>
        <w:t>26</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"_Toc475457354" </w:instrText>
      </w:r>
      <w:r>
        <w:fldChar w:fldCharType="separate"/>
      </w:r>
      <w:r>
        <w:rPr>
          <w:rStyle w:val="18"/>
          <w:b w:val="0"/>
        </w:rPr>
        <w:t>（六）加快集聚集约，提升平台能级</w:t>
      </w:r>
      <w:r>
        <w:rPr>
          <w:rStyle w:val="18"/>
          <w:b w:val="0"/>
        </w:rPr>
        <w:tab/>
      </w:r>
      <w:r>
        <w:rPr>
          <w:rStyle w:val="18"/>
          <w:b w:val="0"/>
        </w:rPr>
        <w:fldChar w:fldCharType="begin"/>
      </w:r>
      <w:r>
        <w:rPr>
          <w:rStyle w:val="18"/>
          <w:b w:val="0"/>
        </w:rPr>
        <w:instrText xml:space="preserve"> PAGEREF _Toc475457354 \h </w:instrText>
      </w:r>
      <w:r>
        <w:rPr>
          <w:rStyle w:val="18"/>
          <w:b w:val="0"/>
        </w:rPr>
        <w:fldChar w:fldCharType="separate"/>
      </w:r>
      <w:r>
        <w:rPr>
          <w:rStyle w:val="18"/>
          <w:b w:val="0"/>
        </w:rPr>
        <w:t>27</w:t>
      </w:r>
      <w:r>
        <w:rPr>
          <w:rStyle w:val="18"/>
          <w:b w:val="0"/>
        </w:rPr>
        <w:fldChar w:fldCharType="end"/>
      </w:r>
      <w:r>
        <w:rPr>
          <w:rStyle w:val="18"/>
          <w:b w:val="0"/>
        </w:rPr>
        <w:fldChar w:fldCharType="end"/>
      </w:r>
    </w:p>
    <w:p>
      <w:pPr>
        <w:pStyle w:val="39"/>
        <w:rPr>
          <w:rFonts w:asciiTheme="minorHAnsi" w:hAnsiTheme="minorHAnsi" w:eastAsiaTheme="minorEastAsia" w:cstheme="minorBidi"/>
          <w:sz w:val="21"/>
          <w:szCs w:val="22"/>
        </w:rPr>
      </w:pPr>
      <w:r>
        <w:fldChar w:fldCharType="begin"/>
      </w:r>
      <w:r>
        <w:instrText xml:space="preserve"> HYPERLINK \l "_Toc475457355" </w:instrText>
      </w:r>
      <w:r>
        <w:fldChar w:fldCharType="separate"/>
      </w:r>
      <w:r>
        <w:rPr>
          <w:rStyle w:val="18"/>
        </w:rPr>
        <w:t>五、东阳磁性电子产业发展的保障举措</w:t>
      </w:r>
      <w:r>
        <w:tab/>
      </w:r>
      <w:r>
        <w:fldChar w:fldCharType="begin"/>
      </w:r>
      <w:r>
        <w:instrText xml:space="preserve"> PAGEREF _Toc475457355 \h </w:instrText>
      </w:r>
      <w:r>
        <w:fldChar w:fldCharType="separate"/>
      </w:r>
      <w:r>
        <w:t>30</w:t>
      </w:r>
      <w:r>
        <w:fldChar w:fldCharType="end"/>
      </w:r>
      <w:r>
        <w:fldChar w:fldCharType="end"/>
      </w:r>
    </w:p>
    <w:p>
      <w:pPr>
        <w:pStyle w:val="39"/>
        <w:ind w:firstLine="643" w:firstLineChars="200"/>
        <w:rPr>
          <w:rStyle w:val="18"/>
          <w:b w:val="0"/>
        </w:rPr>
      </w:pPr>
      <w:r>
        <w:fldChar w:fldCharType="begin"/>
      </w:r>
      <w:r>
        <w:instrText xml:space="preserve"> HYPERLINK \l "_Toc475457356" </w:instrText>
      </w:r>
      <w:r>
        <w:fldChar w:fldCharType="separate"/>
      </w:r>
      <w:r>
        <w:rPr>
          <w:rStyle w:val="18"/>
          <w:b w:val="0"/>
        </w:rPr>
        <w:t>（一）加强要素供给</w:t>
      </w:r>
      <w:r>
        <w:rPr>
          <w:rStyle w:val="18"/>
          <w:b w:val="0"/>
        </w:rPr>
        <w:tab/>
      </w:r>
      <w:r>
        <w:rPr>
          <w:rStyle w:val="18"/>
          <w:b w:val="0"/>
        </w:rPr>
        <w:fldChar w:fldCharType="begin"/>
      </w:r>
      <w:r>
        <w:rPr>
          <w:rStyle w:val="18"/>
          <w:b w:val="0"/>
        </w:rPr>
        <w:instrText xml:space="preserve"> PAGEREF _Toc475457356 \h </w:instrText>
      </w:r>
      <w:r>
        <w:rPr>
          <w:rStyle w:val="18"/>
          <w:b w:val="0"/>
        </w:rPr>
        <w:fldChar w:fldCharType="separate"/>
      </w:r>
      <w:r>
        <w:rPr>
          <w:rStyle w:val="18"/>
          <w:b w:val="0"/>
        </w:rPr>
        <w:t>30</w:t>
      </w:r>
      <w:r>
        <w:rPr>
          <w:rStyle w:val="18"/>
          <w:b w:val="0"/>
        </w:rPr>
        <w:fldChar w:fldCharType="end"/>
      </w:r>
      <w:r>
        <w:rPr>
          <w:rStyle w:val="18"/>
          <w:b w:val="0"/>
        </w:rPr>
        <w:fldChar w:fldCharType="end"/>
      </w:r>
    </w:p>
    <w:p>
      <w:pPr>
        <w:pStyle w:val="39"/>
        <w:ind w:firstLine="643" w:firstLineChars="200"/>
        <w:rPr>
          <w:rStyle w:val="18"/>
          <w:b w:val="0"/>
        </w:rPr>
      </w:pPr>
      <w:r>
        <w:fldChar w:fldCharType="begin"/>
      </w:r>
      <w:r>
        <w:instrText xml:space="preserve"> HYPERLINK \l "_Toc475457357" </w:instrText>
      </w:r>
      <w:r>
        <w:fldChar w:fldCharType="separate"/>
      </w:r>
      <w:r>
        <w:rPr>
          <w:rStyle w:val="18"/>
          <w:b w:val="0"/>
        </w:rPr>
        <w:t>（二）优化政策环境</w:t>
      </w:r>
      <w:r>
        <w:rPr>
          <w:rStyle w:val="18"/>
          <w:b w:val="0"/>
        </w:rPr>
        <w:tab/>
      </w:r>
      <w:r>
        <w:rPr>
          <w:rStyle w:val="18"/>
          <w:b w:val="0"/>
        </w:rPr>
        <w:fldChar w:fldCharType="begin"/>
      </w:r>
      <w:r>
        <w:rPr>
          <w:rStyle w:val="18"/>
          <w:b w:val="0"/>
        </w:rPr>
        <w:instrText xml:space="preserve"> PAGEREF _Toc475457357 \h </w:instrText>
      </w:r>
      <w:r>
        <w:rPr>
          <w:rStyle w:val="18"/>
          <w:b w:val="0"/>
        </w:rPr>
        <w:fldChar w:fldCharType="separate"/>
      </w:r>
      <w:r>
        <w:rPr>
          <w:rStyle w:val="18"/>
          <w:b w:val="0"/>
        </w:rPr>
        <w:t>32</w:t>
      </w:r>
      <w:r>
        <w:rPr>
          <w:rStyle w:val="18"/>
          <w:b w:val="0"/>
        </w:rPr>
        <w:fldChar w:fldCharType="end"/>
      </w:r>
      <w:r>
        <w:rPr>
          <w:rStyle w:val="18"/>
          <w:b w:val="0"/>
        </w:rPr>
        <w:fldChar w:fldCharType="end"/>
      </w:r>
    </w:p>
    <w:p>
      <w:pPr>
        <w:pStyle w:val="39"/>
        <w:rPr>
          <w:rFonts w:asciiTheme="minorHAnsi" w:hAnsiTheme="minorHAnsi" w:eastAsiaTheme="minorEastAsia" w:cstheme="minorBidi"/>
          <w:sz w:val="21"/>
          <w:szCs w:val="22"/>
        </w:rPr>
      </w:pPr>
      <w:r>
        <w:fldChar w:fldCharType="begin"/>
      </w:r>
      <w:r>
        <w:instrText xml:space="preserve"> HYPERLINK \l "_Toc475457358" </w:instrText>
      </w:r>
      <w:r>
        <w:fldChar w:fldCharType="separate"/>
      </w:r>
      <w:r>
        <w:rPr>
          <w:rStyle w:val="18"/>
        </w:rPr>
        <w:t>附件1 磁性电子产业亿元以上企业培育表</w:t>
      </w:r>
      <w:r>
        <w:tab/>
      </w:r>
      <w:r>
        <w:fldChar w:fldCharType="begin"/>
      </w:r>
      <w:r>
        <w:instrText xml:space="preserve"> PAGEREF _Toc475457358 \h </w:instrText>
      </w:r>
      <w:r>
        <w:fldChar w:fldCharType="separate"/>
      </w:r>
      <w:r>
        <w:t>35</w:t>
      </w:r>
      <w:r>
        <w:fldChar w:fldCharType="end"/>
      </w:r>
      <w:r>
        <w:fldChar w:fldCharType="end"/>
      </w:r>
    </w:p>
    <w:p>
      <w:pPr>
        <w:pStyle w:val="39"/>
        <w:rPr>
          <w:rFonts w:asciiTheme="minorHAnsi" w:hAnsiTheme="minorHAnsi" w:eastAsiaTheme="minorEastAsia" w:cstheme="minorBidi"/>
          <w:sz w:val="21"/>
          <w:szCs w:val="22"/>
        </w:rPr>
      </w:pPr>
      <w:r>
        <w:fldChar w:fldCharType="begin"/>
      </w:r>
      <w:r>
        <w:instrText xml:space="preserve"> HYPERLINK \l "_Toc475457359" </w:instrText>
      </w:r>
      <w:r>
        <w:fldChar w:fldCharType="separate"/>
      </w:r>
      <w:r>
        <w:rPr>
          <w:rStyle w:val="18"/>
        </w:rPr>
        <w:t>附件2 磁性电子产业“十三五”期间重点项目</w:t>
      </w:r>
      <w:r>
        <w:tab/>
      </w:r>
      <w:r>
        <w:fldChar w:fldCharType="begin"/>
      </w:r>
      <w:r>
        <w:instrText xml:space="preserve"> PAGEREF _Toc475457359 \h </w:instrText>
      </w:r>
      <w:r>
        <w:fldChar w:fldCharType="separate"/>
      </w:r>
      <w:r>
        <w:t>36</w:t>
      </w:r>
      <w:r>
        <w:fldChar w:fldCharType="end"/>
      </w:r>
      <w:r>
        <w:fldChar w:fldCharType="end"/>
      </w:r>
    </w:p>
    <w:p>
      <w:pPr>
        <w:pStyle w:val="39"/>
        <w:rPr>
          <w:rFonts w:asciiTheme="minorHAnsi" w:hAnsiTheme="minorHAnsi" w:eastAsiaTheme="minorEastAsia" w:cstheme="minorBidi"/>
          <w:sz w:val="21"/>
          <w:szCs w:val="22"/>
        </w:rPr>
      </w:pPr>
      <w:r>
        <w:fldChar w:fldCharType="begin"/>
      </w:r>
      <w:r>
        <w:instrText xml:space="preserve"> HYPERLINK \l "_Toc475457360" </w:instrText>
      </w:r>
      <w:r>
        <w:fldChar w:fldCharType="separate"/>
      </w:r>
      <w:r>
        <w:rPr>
          <w:rStyle w:val="18"/>
        </w:rPr>
        <w:t>附件3 “十三五”时期产值与用地情况测算</w:t>
      </w:r>
      <w:r>
        <w:tab/>
      </w:r>
      <w:r>
        <w:fldChar w:fldCharType="begin"/>
      </w:r>
      <w:r>
        <w:instrText xml:space="preserve"> PAGEREF _Toc475457360 \h </w:instrText>
      </w:r>
      <w:r>
        <w:fldChar w:fldCharType="separate"/>
      </w:r>
      <w:r>
        <w:t>37</w:t>
      </w:r>
      <w:r>
        <w:fldChar w:fldCharType="end"/>
      </w:r>
      <w:r>
        <w:fldChar w:fldCharType="end"/>
      </w:r>
    </w:p>
    <w:p>
      <w:pPr>
        <w:pStyle w:val="39"/>
        <w:rPr>
          <w:rFonts w:asciiTheme="minorHAnsi" w:hAnsiTheme="minorHAnsi" w:eastAsiaTheme="minorEastAsia" w:cstheme="minorBidi"/>
          <w:sz w:val="21"/>
          <w:szCs w:val="22"/>
        </w:rPr>
      </w:pPr>
      <w:r>
        <w:fldChar w:fldCharType="begin"/>
      </w:r>
      <w:r>
        <w:instrText xml:space="preserve"> HYPERLINK \l "_Toc475457363" </w:instrText>
      </w:r>
      <w:r>
        <w:fldChar w:fldCharType="separate"/>
      </w:r>
      <w:r>
        <w:rPr>
          <w:rStyle w:val="18"/>
        </w:rPr>
        <w:t>附件4 全球磁性材料顶尖企业</w:t>
      </w:r>
      <w:r>
        <w:tab/>
      </w:r>
      <w:r>
        <w:fldChar w:fldCharType="begin"/>
      </w:r>
      <w:r>
        <w:instrText xml:space="preserve"> PAGEREF _Toc475457363 \h </w:instrText>
      </w:r>
      <w:r>
        <w:fldChar w:fldCharType="separate"/>
      </w:r>
      <w:r>
        <w:t>40</w:t>
      </w:r>
      <w:r>
        <w:fldChar w:fldCharType="end"/>
      </w:r>
      <w:r>
        <w:fldChar w:fldCharType="end"/>
      </w:r>
    </w:p>
    <w:p>
      <w:pPr>
        <w:pStyle w:val="39"/>
        <w:rPr>
          <w:rStyle w:val="18"/>
          <w:b w:val="0"/>
          <w:color w:val="auto"/>
        </w:rPr>
      </w:pPr>
      <w:r>
        <w:rPr>
          <w:rStyle w:val="18"/>
          <w:b w:val="0"/>
          <w:color w:val="auto"/>
        </w:rPr>
        <w:fldChar w:fldCharType="end"/>
      </w:r>
    </w:p>
    <w:p>
      <w:pPr>
        <w:pStyle w:val="39"/>
      </w:pPr>
    </w:p>
    <w:p>
      <w:pPr>
        <w:snapToGrid w:val="0"/>
        <w:spacing w:before="156" w:beforeLines="50"/>
        <w:ind w:firstLine="720"/>
        <w:jc w:val="center"/>
        <w:rPr>
          <w:rFonts w:ascii="Times New Roman" w:hAnsi="Times New Roman" w:eastAsia="楷体_GB2312"/>
          <w:sz w:val="36"/>
          <w:szCs w:val="36"/>
        </w:rPr>
      </w:pPr>
    </w:p>
    <w:p>
      <w:pPr>
        <w:snapToGrid w:val="0"/>
        <w:spacing w:before="156" w:beforeLines="50"/>
        <w:ind w:firstLine="720"/>
        <w:jc w:val="center"/>
        <w:rPr>
          <w:rFonts w:ascii="Times New Roman" w:hAnsi="Times New Roman" w:eastAsia="楷体_GB2312"/>
          <w:sz w:val="36"/>
          <w:szCs w:val="36"/>
        </w:rPr>
        <w:sectPr>
          <w:footerReference r:id="rId11" w:type="default"/>
          <w:pgSz w:w="11906" w:h="16838"/>
          <w:pgMar w:top="1440" w:right="1800" w:bottom="1440" w:left="1800" w:header="851" w:footer="992" w:gutter="0"/>
          <w:pgNumType w:fmt="upperRoman" w:start="1"/>
          <w:cols w:space="425" w:num="1"/>
          <w:docGrid w:type="lines" w:linePitch="312" w:charSpace="0"/>
        </w:sectPr>
      </w:pPr>
    </w:p>
    <w:p>
      <w:pPr>
        <w:pStyle w:val="2"/>
      </w:pPr>
      <w:bookmarkStart w:id="0" w:name="_Toc475456941"/>
      <w:bookmarkStart w:id="1" w:name="_Toc475457197"/>
      <w:bookmarkStart w:id="2" w:name="_Toc475457336"/>
      <w:r>
        <w:rPr>
          <w:rFonts w:hint="eastAsia"/>
        </w:rPr>
        <w:t>一</w:t>
      </w:r>
      <w:r>
        <w:t>、发展</w:t>
      </w:r>
      <w:r>
        <w:rPr>
          <w:rFonts w:hint="eastAsia"/>
        </w:rPr>
        <w:t>现状</w:t>
      </w:r>
      <w:bookmarkEnd w:id="0"/>
      <w:bookmarkEnd w:id="1"/>
      <w:bookmarkEnd w:id="2"/>
    </w:p>
    <w:p>
      <w:pPr>
        <w:pStyle w:val="35"/>
        <w:ind w:firstLine="640"/>
      </w:pPr>
      <w:r>
        <w:t>浙江是磁性材料产业大省，东阳是磁性材料最大的产区</w:t>
      </w:r>
      <w:r>
        <w:rPr>
          <w:rFonts w:hint="eastAsia"/>
        </w:rPr>
        <w:t>、</w:t>
      </w:r>
      <w:r>
        <w:t>国家</w:t>
      </w:r>
      <w:r>
        <w:rPr>
          <w:rFonts w:hint="eastAsia"/>
        </w:rPr>
        <w:t>级</w:t>
      </w:r>
      <w:r>
        <w:t>磁性材料产业基地</w:t>
      </w:r>
      <w:r>
        <w:rPr>
          <w:rFonts w:hint="eastAsia"/>
        </w:rPr>
        <w:t>、</w:t>
      </w:r>
      <w:r>
        <w:t>科技兴贸创新基地和中国磁都。</w:t>
      </w:r>
      <w:r>
        <w:rPr>
          <w:rFonts w:hint="eastAsia"/>
        </w:rPr>
        <w:t>“十二五”以来，在市委、市政府的坚强领导下，磁性电子产业发展取得了良好成效，成为东阳工业经济的重要支柱产业。</w:t>
      </w:r>
    </w:p>
    <w:p>
      <w:pPr>
        <w:pStyle w:val="3"/>
        <w:rPr>
          <w:shd w:val="clear" w:color="auto" w:fill="auto"/>
        </w:rPr>
      </w:pPr>
      <w:bookmarkStart w:id="3" w:name="_Toc475456942"/>
      <w:bookmarkStart w:id="4" w:name="_Toc475457198"/>
      <w:bookmarkStart w:id="5" w:name="_Toc475457337"/>
      <w:r>
        <w:rPr>
          <w:shd w:val="clear" w:color="auto" w:fill="auto"/>
        </w:rPr>
        <w:t>（一）发展基础</w:t>
      </w:r>
      <w:bookmarkEnd w:id="3"/>
      <w:bookmarkEnd w:id="4"/>
      <w:bookmarkEnd w:id="5"/>
    </w:p>
    <w:p>
      <w:pPr>
        <w:pStyle w:val="35"/>
        <w:ind w:firstLine="640"/>
      </w:pPr>
      <w:r>
        <w:rPr>
          <w:rFonts w:hint="eastAsia"/>
        </w:rPr>
        <w:t>经过</w:t>
      </w:r>
      <w:r>
        <w:t>多年发展，与全国主要磁性产业集聚区相比，东阳磁性电子产业无论在产业规模、空间集聚</w:t>
      </w:r>
      <w:r>
        <w:rPr>
          <w:rFonts w:hint="eastAsia"/>
        </w:rPr>
        <w:t>，</w:t>
      </w:r>
      <w:r>
        <w:t>还是在龙头企业</w:t>
      </w:r>
      <w:r>
        <w:rPr>
          <w:rFonts w:hint="eastAsia"/>
        </w:rPr>
        <w:t>引领、</w:t>
      </w:r>
      <w:r>
        <w:t>产业</w:t>
      </w:r>
      <w:r>
        <w:rPr>
          <w:rFonts w:hint="eastAsia"/>
        </w:rPr>
        <w:t>协作</w:t>
      </w:r>
      <w:r>
        <w:t>水平等方面都具有较强优势。</w:t>
      </w:r>
    </w:p>
    <w:p>
      <w:pPr>
        <w:pStyle w:val="4"/>
        <w:rPr>
          <w:shd w:val="clear" w:color="auto" w:fill="auto"/>
        </w:rPr>
      </w:pPr>
      <w:bookmarkStart w:id="6" w:name="_Toc475456943"/>
      <w:bookmarkStart w:id="7" w:name="_Toc467576737"/>
      <w:r>
        <w:rPr>
          <w:shd w:val="clear" w:color="auto" w:fill="auto"/>
        </w:rPr>
        <w:t>1、</w:t>
      </w:r>
      <w:r>
        <w:rPr>
          <w:rFonts w:hint="eastAsia"/>
        </w:rPr>
        <w:t>总量规模大，</w:t>
      </w:r>
      <w:r>
        <w:rPr>
          <w:shd w:val="clear" w:color="auto" w:fill="auto"/>
        </w:rPr>
        <w:t>支撑东阳经济发展</w:t>
      </w:r>
      <w:bookmarkEnd w:id="6"/>
      <w:bookmarkEnd w:id="7"/>
    </w:p>
    <w:p>
      <w:pPr>
        <w:pStyle w:val="35"/>
        <w:ind w:firstLine="640"/>
      </w:pPr>
      <w:r>
        <w:t>东阳市磁性电子产业经过多年的整合提升，已成为支撑东阳工业经济发展的支柱产业。2015年，全市共有磁性电子企业140余家，规模以上企业54家，其中，磁性材料企业40家，电子企业14家；规上工业总产值达124亿元，占全市规模以上工业总产值的1/4。磁性材料</w:t>
      </w:r>
      <w:r>
        <w:rPr>
          <w:rFonts w:hint="eastAsia"/>
        </w:rPr>
        <w:t>产业</w:t>
      </w:r>
      <w:r>
        <w:t>经济规模约占全省磁性材料</w:t>
      </w:r>
      <w:r>
        <w:rPr>
          <w:rFonts w:hint="eastAsia"/>
        </w:rPr>
        <w:t>产业</w:t>
      </w:r>
      <w:r>
        <w:t>60%以上，产业规模居全国之首，是全国的磁性材料产业大市。</w:t>
      </w:r>
    </w:p>
    <w:p>
      <w:pPr>
        <w:pStyle w:val="41"/>
      </w:pPr>
      <w:r>
        <w:t>表</w:t>
      </w:r>
      <w:r>
        <w:fldChar w:fldCharType="begin"/>
      </w:r>
      <w:r>
        <w:instrText xml:space="preserve"> SEQ 表格 \* ARABIC </w:instrText>
      </w:r>
      <w:r>
        <w:fldChar w:fldCharType="separate"/>
      </w:r>
      <w:r>
        <w:t>1</w:t>
      </w:r>
      <w:r>
        <w:fldChar w:fldCharType="end"/>
      </w:r>
      <w:r>
        <w:t xml:space="preserve"> 2015年磁性电子产业企业经营情况表</w:t>
      </w:r>
    </w:p>
    <w:tbl>
      <w:tblPr>
        <w:tblStyle w:val="15"/>
        <w:tblW w:w="864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62"/>
        <w:gridCol w:w="1724"/>
        <w:gridCol w:w="1418"/>
        <w:gridCol w:w="1984"/>
        <w:gridCol w:w="15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2" w:type="dxa"/>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ascii="Times New Roman" w:hAnsi="Times New Roman"/>
                <w:sz w:val="24"/>
                <w:szCs w:val="24"/>
              </w:rPr>
              <w:t>企业类别</w:t>
            </w:r>
          </w:p>
        </w:tc>
        <w:tc>
          <w:tcPr>
            <w:tcW w:w="1724" w:type="dxa"/>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ascii="Times New Roman" w:hAnsi="Times New Roman"/>
                <w:sz w:val="24"/>
                <w:szCs w:val="24"/>
              </w:rPr>
              <w:t>主营业务收入（亿元）</w:t>
            </w:r>
          </w:p>
        </w:tc>
        <w:tc>
          <w:tcPr>
            <w:tcW w:w="1418" w:type="dxa"/>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ascii="Times New Roman" w:hAnsi="Times New Roman"/>
                <w:sz w:val="24"/>
                <w:szCs w:val="24"/>
              </w:rPr>
              <w:t>利润总额（亿元）</w:t>
            </w:r>
          </w:p>
        </w:tc>
        <w:tc>
          <w:tcPr>
            <w:tcW w:w="1984" w:type="dxa"/>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ascii="Times New Roman" w:hAnsi="Times New Roman"/>
                <w:sz w:val="24"/>
                <w:szCs w:val="24"/>
              </w:rPr>
              <w:t>规上主营业务收入利润率（%）</w:t>
            </w:r>
          </w:p>
        </w:tc>
        <w:tc>
          <w:tcPr>
            <w:tcW w:w="1560" w:type="dxa"/>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ascii="Times New Roman" w:hAnsi="Times New Roman"/>
                <w:sz w:val="24"/>
                <w:szCs w:val="24"/>
              </w:rPr>
              <w:t>人均利润（万元/人）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2" w:type="dxa"/>
            <w:shd w:val="clear" w:color="auto" w:fill="auto"/>
            <w:vAlign w:val="center"/>
          </w:tcPr>
          <w:p>
            <w:pPr>
              <w:widowControl/>
              <w:ind w:firstLine="0" w:firstLineChars="0"/>
              <w:jc w:val="left"/>
              <w:rPr>
                <w:rFonts w:ascii="Times New Roman" w:hAnsi="Times New Roman"/>
                <w:sz w:val="24"/>
                <w:szCs w:val="24"/>
              </w:rPr>
            </w:pPr>
            <w:r>
              <w:rPr>
                <w:rFonts w:ascii="Times New Roman" w:hAnsi="Times New Roman"/>
                <w:sz w:val="24"/>
                <w:szCs w:val="24"/>
              </w:rPr>
              <w:t>磁性材料企业</w:t>
            </w:r>
          </w:p>
        </w:tc>
        <w:tc>
          <w:tcPr>
            <w:tcW w:w="1724"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82.8</w:t>
            </w:r>
          </w:p>
        </w:tc>
        <w:tc>
          <w:tcPr>
            <w:tcW w:w="1418"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5.7</w:t>
            </w:r>
          </w:p>
        </w:tc>
        <w:tc>
          <w:tcPr>
            <w:tcW w:w="1984"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6.9%</w:t>
            </w:r>
          </w:p>
        </w:tc>
        <w:tc>
          <w:tcPr>
            <w:tcW w:w="1560"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29.1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2" w:type="dxa"/>
            <w:shd w:val="clear" w:color="auto" w:fill="auto"/>
            <w:vAlign w:val="center"/>
          </w:tcPr>
          <w:p>
            <w:pPr>
              <w:widowControl/>
              <w:ind w:firstLine="0" w:firstLineChars="0"/>
              <w:jc w:val="left"/>
              <w:rPr>
                <w:rFonts w:ascii="Times New Roman" w:hAnsi="Times New Roman"/>
                <w:sz w:val="24"/>
                <w:szCs w:val="24"/>
              </w:rPr>
            </w:pPr>
            <w:r>
              <w:rPr>
                <w:rFonts w:ascii="Times New Roman" w:hAnsi="Times New Roman"/>
                <w:sz w:val="24"/>
                <w:szCs w:val="24"/>
              </w:rPr>
              <w:t>电子</w:t>
            </w:r>
            <w:r>
              <w:rPr>
                <w:rFonts w:hint="eastAsia" w:ascii="Times New Roman" w:hAnsi="Times New Roman"/>
                <w:sz w:val="24"/>
                <w:szCs w:val="24"/>
              </w:rPr>
              <w:t>元器件</w:t>
            </w:r>
            <w:r>
              <w:rPr>
                <w:rFonts w:ascii="Times New Roman" w:hAnsi="Times New Roman"/>
                <w:sz w:val="24"/>
                <w:szCs w:val="24"/>
              </w:rPr>
              <w:t>企业</w:t>
            </w:r>
          </w:p>
        </w:tc>
        <w:tc>
          <w:tcPr>
            <w:tcW w:w="1724"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41.8</w:t>
            </w:r>
          </w:p>
        </w:tc>
        <w:tc>
          <w:tcPr>
            <w:tcW w:w="1418"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5.3</w:t>
            </w:r>
          </w:p>
        </w:tc>
        <w:tc>
          <w:tcPr>
            <w:tcW w:w="1984"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12.8%</w:t>
            </w:r>
          </w:p>
        </w:tc>
        <w:tc>
          <w:tcPr>
            <w:tcW w:w="1560"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77.7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2" w:type="dxa"/>
            <w:shd w:val="clear" w:color="auto" w:fill="auto"/>
            <w:vAlign w:val="center"/>
          </w:tcPr>
          <w:p>
            <w:pPr>
              <w:widowControl/>
              <w:ind w:firstLine="0" w:firstLineChars="0"/>
              <w:jc w:val="left"/>
              <w:rPr>
                <w:rFonts w:ascii="Times New Roman" w:hAnsi="Times New Roman"/>
                <w:sz w:val="24"/>
                <w:szCs w:val="24"/>
              </w:rPr>
            </w:pPr>
            <w:r>
              <w:rPr>
                <w:rFonts w:ascii="Times New Roman" w:hAnsi="Times New Roman"/>
                <w:sz w:val="24"/>
                <w:szCs w:val="24"/>
              </w:rPr>
              <w:t>磁性电子企业</w:t>
            </w:r>
          </w:p>
        </w:tc>
        <w:tc>
          <w:tcPr>
            <w:tcW w:w="1724"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124.6</w:t>
            </w:r>
          </w:p>
        </w:tc>
        <w:tc>
          <w:tcPr>
            <w:tcW w:w="1418"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11.0</w:t>
            </w:r>
          </w:p>
        </w:tc>
        <w:tc>
          <w:tcPr>
            <w:tcW w:w="1984"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8.8%</w:t>
            </w:r>
          </w:p>
        </w:tc>
        <w:tc>
          <w:tcPr>
            <w:tcW w:w="1560" w:type="dxa"/>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41.7</w:t>
            </w:r>
          </w:p>
        </w:tc>
      </w:tr>
    </w:tbl>
    <w:p>
      <w:pPr>
        <w:pStyle w:val="43"/>
        <w:rPr>
          <w:sz w:val="28"/>
          <w:szCs w:val="28"/>
        </w:rPr>
      </w:pPr>
      <w:r>
        <w:t>数据来源：2015磁性电子规上企业发展情况汇总表</w:t>
      </w:r>
    </w:p>
    <w:p>
      <w:pPr>
        <w:pStyle w:val="4"/>
        <w:rPr>
          <w:shd w:val="clear" w:color="auto" w:fill="auto"/>
        </w:rPr>
      </w:pPr>
      <w:bookmarkStart w:id="8" w:name="_Toc475456944"/>
      <w:bookmarkStart w:id="9" w:name="_Toc467576738"/>
      <w:r>
        <w:rPr>
          <w:shd w:val="clear" w:color="auto" w:fill="auto"/>
        </w:rPr>
        <w:t>2、</w:t>
      </w:r>
      <w:r>
        <w:rPr>
          <w:rFonts w:hint="eastAsia"/>
          <w:shd w:val="clear" w:color="auto" w:fill="auto"/>
        </w:rPr>
        <w:t>区域</w:t>
      </w:r>
      <w:r>
        <w:rPr>
          <w:shd w:val="clear" w:color="auto" w:fill="auto"/>
        </w:rPr>
        <w:t>集聚高，集群发展态势明显</w:t>
      </w:r>
      <w:bookmarkEnd w:id="8"/>
    </w:p>
    <w:p>
      <w:pPr>
        <w:pStyle w:val="35"/>
        <w:ind w:firstLine="640"/>
      </w:pPr>
      <w:r>
        <w:rPr>
          <w:rFonts w:hint="eastAsia"/>
        </w:rPr>
        <w:t>作为块状经济向现代产业集群转型升级示范区，磁性电子产业在工业园区改造升级、亩产税收清理规范等</w:t>
      </w:r>
      <w:r>
        <w:t>工作成效显现，磁性电子产业集中度进一步提升，成为国内铁氧体和稀土永磁材料生产企业最密集的地区。全市的产业基地主要分布在横店和李宅，并在横店建立了省级横店电子产业园区和磁性材料工业功能区。磁性材料企业主要分布在以</w:t>
      </w:r>
      <w:r>
        <w:rPr>
          <w:rFonts w:hint="eastAsia"/>
        </w:rPr>
        <w:t>横店</w:t>
      </w:r>
      <w:r>
        <w:t>东磁为中心的横店和以</w:t>
      </w:r>
      <w:r>
        <w:rPr>
          <w:rFonts w:hint="eastAsia"/>
        </w:rPr>
        <w:t>凯文磁钢</w:t>
      </w:r>
      <w:r>
        <w:t>为中心的城东街道、李宅；电子电器企业则在工业经济比较发达的镇街均有分布，如横店、歌山、巍山、南马、白云、城东、六石等。</w:t>
      </w:r>
    </w:p>
    <w:p>
      <w:pPr>
        <w:pStyle w:val="32"/>
        <w:spacing w:line="240" w:lineRule="exact"/>
        <w:rPr>
          <w:rFonts w:ascii="Times New Roman" w:hAnsi="Times New Roman"/>
        </w:rPr>
      </w:pPr>
      <w:r>
        <w:drawing>
          <wp:anchor distT="0" distB="0" distL="114300" distR="114300" simplePos="0" relativeHeight="251660288" behindDoc="0" locked="0" layoutInCell="1" allowOverlap="1">
            <wp:simplePos x="0" y="0"/>
            <wp:positionH relativeFrom="column">
              <wp:posOffset>654050</wp:posOffset>
            </wp:positionH>
            <wp:positionV relativeFrom="paragraph">
              <wp:posOffset>208915</wp:posOffset>
            </wp:positionV>
            <wp:extent cx="3937000" cy="2716530"/>
            <wp:effectExtent l="19050" t="19050" r="25400" b="2667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3937000" cy="2716530"/>
                    </a:xfrm>
                    <a:prstGeom prst="rect">
                      <a:avLst/>
                    </a:prstGeom>
                    <a:ln>
                      <a:solidFill>
                        <a:schemeClr val="accent1"/>
                      </a:solidFill>
                    </a:ln>
                  </pic:spPr>
                </pic:pic>
              </a:graphicData>
            </a:graphic>
          </wp:anchor>
        </w:drawing>
      </w:r>
    </w:p>
    <w:p>
      <w:pPr>
        <w:pStyle w:val="41"/>
      </w:pPr>
      <w:r>
        <w:rPr>
          <w:rFonts w:hint="eastAsia"/>
        </w:rPr>
        <w:t>图</w:t>
      </w:r>
      <w:r>
        <w:fldChar w:fldCharType="begin"/>
      </w:r>
      <w:r>
        <w:instrText xml:space="preserve"> SEQ 图表 \* ARABIC </w:instrText>
      </w:r>
      <w:r>
        <w:fldChar w:fldCharType="separate"/>
      </w:r>
      <w:r>
        <w:t>1</w:t>
      </w:r>
      <w:r>
        <w:fldChar w:fldCharType="end"/>
      </w:r>
      <w:r>
        <w:t xml:space="preserve">  </w:t>
      </w:r>
      <w:r>
        <w:rPr>
          <w:rFonts w:hint="eastAsia"/>
        </w:rPr>
        <w:t>磁性电子产业企业分布情况图</w:t>
      </w:r>
    </w:p>
    <w:p>
      <w:pPr>
        <w:pStyle w:val="4"/>
        <w:rPr>
          <w:shd w:val="clear" w:color="auto" w:fill="auto"/>
        </w:rPr>
      </w:pPr>
      <w:bookmarkStart w:id="10" w:name="_Toc475456945"/>
      <w:r>
        <w:rPr>
          <w:shd w:val="clear" w:color="auto" w:fill="auto"/>
        </w:rPr>
        <w:t>3、龙头企业优，</w:t>
      </w:r>
      <w:r>
        <w:rPr>
          <w:rFonts w:hint="eastAsia"/>
        </w:rPr>
        <w:t>引领产业做</w:t>
      </w:r>
      <w:r>
        <w:rPr>
          <w:shd w:val="clear" w:color="auto" w:fill="auto"/>
        </w:rPr>
        <w:t>大做强</w:t>
      </w:r>
      <w:bookmarkEnd w:id="10"/>
    </w:p>
    <w:p>
      <w:pPr>
        <w:pStyle w:val="35"/>
        <w:ind w:firstLine="640"/>
      </w:pPr>
      <w:r>
        <w:t>在“三名”工程等的强力推动下，东阳磁性电子产业龙头企业质效齐升，在全国甚至全球竞争力进一步加强。在磁性材料方面，</w:t>
      </w:r>
      <w:r>
        <w:rPr>
          <w:rFonts w:hint="eastAsia"/>
        </w:rPr>
        <w:t>横店</w:t>
      </w:r>
      <w:r>
        <w:t>东磁是国内最大的铁氧体软磁材料生产企业、全球最大的永磁预烧料和铁氧体永磁材料生产企业，英洛华磁业是仅次于中科三环的国内第二大钕铁硼稀土永磁材料生产企业，</w:t>
      </w:r>
      <w:r>
        <w:rPr>
          <w:rFonts w:hint="eastAsia"/>
        </w:rPr>
        <w:t>凯文磁钢</w:t>
      </w:r>
      <w:r>
        <w:t>是以专业生产大弧度瓦形铁氧体永磁材料见长的国家高新技术企业；在电子领域方面，英洛华</w:t>
      </w:r>
      <w:r>
        <w:rPr>
          <w:rFonts w:hint="eastAsia"/>
        </w:rPr>
        <w:t>电子</w:t>
      </w:r>
      <w:r>
        <w:t>是国内最大的电子陶瓷生产厂家之一。2016年，中国电子元件行业协会磁性材料与器件分会落户东阳，进一步提升东阳磁性材料产业的区域地位，提高产业话语权。</w:t>
      </w:r>
    </w:p>
    <w:p>
      <w:pPr>
        <w:pStyle w:val="41"/>
      </w:pPr>
      <w:r>
        <w:t>表</w:t>
      </w:r>
      <w:r>
        <w:fldChar w:fldCharType="begin"/>
      </w:r>
      <w:r>
        <w:instrText xml:space="preserve"> SEQ 表格 \* ARABIC </w:instrText>
      </w:r>
      <w:r>
        <w:fldChar w:fldCharType="separate"/>
      </w:r>
      <w:r>
        <w:t>2</w:t>
      </w:r>
      <w:r>
        <w:fldChar w:fldCharType="end"/>
      </w:r>
      <w:r>
        <w:t xml:space="preserve"> 东阳入围2015年中国电子元器件百强企业名单</w:t>
      </w:r>
    </w:p>
    <w:tbl>
      <w:tblPr>
        <w:tblStyle w:val="15"/>
        <w:tblW w:w="5000" w:type="pct"/>
        <w:tblInd w:w="0"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84"/>
        <w:gridCol w:w="3347"/>
        <w:gridCol w:w="1391"/>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20" w:type="pct"/>
            <w:shd w:val="clear" w:color="auto" w:fill="D8D8D8" w:themeFill="background1" w:themeFillShade="D9"/>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企业名称</w:t>
            </w:r>
          </w:p>
        </w:tc>
        <w:tc>
          <w:tcPr>
            <w:tcW w:w="1964" w:type="pct"/>
            <w:shd w:val="clear" w:color="auto" w:fill="D8D8D8" w:themeFill="background1" w:themeFillShade="D9"/>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主营业务收入（亿元）</w:t>
            </w:r>
          </w:p>
        </w:tc>
        <w:tc>
          <w:tcPr>
            <w:tcW w:w="816" w:type="pct"/>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ascii="Times New Roman" w:hAnsi="Times New Roman"/>
                <w:sz w:val="24"/>
                <w:szCs w:val="24"/>
              </w:rPr>
              <w:t>排名</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20" w:type="pct"/>
            <w:shd w:val="clear" w:color="auto" w:fill="auto"/>
            <w:noWrap/>
            <w:vAlign w:val="center"/>
          </w:tcPr>
          <w:p>
            <w:pPr>
              <w:widowControl/>
              <w:ind w:firstLine="0" w:firstLineChars="0"/>
              <w:rPr>
                <w:rFonts w:ascii="Times New Roman" w:hAnsi="Times New Roman"/>
                <w:sz w:val="24"/>
                <w:szCs w:val="24"/>
              </w:rPr>
            </w:pPr>
            <w:r>
              <w:rPr>
                <w:rFonts w:ascii="Times New Roman" w:hAnsi="Times New Roman"/>
                <w:sz w:val="24"/>
                <w:szCs w:val="24"/>
              </w:rPr>
              <w:t>横店集团东磁</w:t>
            </w:r>
            <w:r>
              <w:rPr>
                <w:rFonts w:hint="eastAsia" w:ascii="Times New Roman" w:hAnsi="Times New Roman"/>
                <w:sz w:val="24"/>
                <w:szCs w:val="24"/>
              </w:rPr>
              <w:t>股份</w:t>
            </w:r>
            <w:r>
              <w:rPr>
                <w:rFonts w:ascii="Times New Roman" w:hAnsi="Times New Roman"/>
                <w:sz w:val="24"/>
                <w:szCs w:val="24"/>
              </w:rPr>
              <w:t>有限公司</w:t>
            </w:r>
          </w:p>
        </w:tc>
        <w:tc>
          <w:tcPr>
            <w:tcW w:w="1964" w:type="pct"/>
            <w:shd w:val="clear" w:color="auto" w:fill="auto"/>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52.03</w:t>
            </w:r>
          </w:p>
        </w:tc>
        <w:tc>
          <w:tcPr>
            <w:tcW w:w="816" w:type="pct"/>
            <w:vAlign w:val="center"/>
          </w:tcPr>
          <w:p>
            <w:pPr>
              <w:widowControl/>
              <w:ind w:firstLine="0" w:firstLineChars="0"/>
              <w:jc w:val="center"/>
              <w:rPr>
                <w:rFonts w:ascii="Times New Roman" w:hAnsi="Times New Roman"/>
                <w:sz w:val="24"/>
                <w:szCs w:val="24"/>
              </w:rPr>
            </w:pPr>
            <w:r>
              <w:rPr>
                <w:rFonts w:ascii="Times New Roman" w:hAnsi="Times New Roman"/>
                <w:sz w:val="24"/>
                <w:szCs w:val="24"/>
              </w:rPr>
              <w:t>15</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20" w:type="pct"/>
            <w:shd w:val="clear" w:color="auto" w:fill="auto"/>
            <w:noWrap/>
            <w:vAlign w:val="center"/>
          </w:tcPr>
          <w:p>
            <w:pPr>
              <w:widowControl/>
              <w:ind w:firstLine="0" w:firstLineChars="0"/>
              <w:rPr>
                <w:rFonts w:ascii="Times New Roman" w:hAnsi="Times New Roman"/>
                <w:sz w:val="24"/>
                <w:szCs w:val="24"/>
              </w:rPr>
            </w:pPr>
            <w:r>
              <w:rPr>
                <w:rFonts w:ascii="Times New Roman" w:hAnsi="Times New Roman"/>
                <w:sz w:val="24"/>
                <w:szCs w:val="24"/>
              </w:rPr>
              <w:t>浙江</w:t>
            </w:r>
            <w:r>
              <w:rPr>
                <w:rFonts w:hint="eastAsia" w:ascii="Times New Roman" w:hAnsi="Times New Roman"/>
                <w:sz w:val="24"/>
                <w:szCs w:val="24"/>
              </w:rPr>
              <w:t>凯文磁钢</w:t>
            </w:r>
            <w:r>
              <w:rPr>
                <w:rFonts w:ascii="Times New Roman" w:hAnsi="Times New Roman"/>
                <w:sz w:val="24"/>
                <w:szCs w:val="24"/>
              </w:rPr>
              <w:t>有限公司</w:t>
            </w:r>
          </w:p>
        </w:tc>
        <w:tc>
          <w:tcPr>
            <w:tcW w:w="1964" w:type="pct"/>
            <w:shd w:val="clear" w:color="auto" w:fill="auto"/>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5.29</w:t>
            </w:r>
          </w:p>
        </w:tc>
        <w:tc>
          <w:tcPr>
            <w:tcW w:w="816" w:type="pct"/>
            <w:vAlign w:val="center"/>
          </w:tcPr>
          <w:p>
            <w:pPr>
              <w:widowControl/>
              <w:ind w:firstLine="0" w:firstLineChars="0"/>
              <w:jc w:val="center"/>
              <w:rPr>
                <w:rFonts w:ascii="Times New Roman" w:hAnsi="Times New Roman"/>
                <w:sz w:val="24"/>
                <w:szCs w:val="24"/>
              </w:rPr>
            </w:pPr>
            <w:r>
              <w:rPr>
                <w:rFonts w:ascii="Times New Roman" w:hAnsi="Times New Roman"/>
                <w:sz w:val="24"/>
                <w:szCs w:val="24"/>
              </w:rPr>
              <w:t>65</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20" w:type="pct"/>
            <w:shd w:val="clear" w:color="auto" w:fill="auto"/>
            <w:noWrap/>
            <w:vAlign w:val="center"/>
          </w:tcPr>
          <w:p>
            <w:pPr>
              <w:widowControl/>
              <w:ind w:firstLine="0" w:firstLineChars="0"/>
              <w:rPr>
                <w:rFonts w:ascii="Times New Roman" w:hAnsi="Times New Roman"/>
                <w:sz w:val="24"/>
                <w:szCs w:val="24"/>
              </w:rPr>
            </w:pPr>
            <w:r>
              <w:rPr>
                <w:rFonts w:ascii="Times New Roman" w:hAnsi="Times New Roman"/>
                <w:sz w:val="24"/>
                <w:szCs w:val="24"/>
              </w:rPr>
              <w:t>浙江全方音响科技有限公司</w:t>
            </w:r>
          </w:p>
        </w:tc>
        <w:tc>
          <w:tcPr>
            <w:tcW w:w="1964" w:type="pct"/>
            <w:shd w:val="clear" w:color="auto" w:fill="auto"/>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3.99</w:t>
            </w:r>
          </w:p>
        </w:tc>
        <w:tc>
          <w:tcPr>
            <w:tcW w:w="816" w:type="pct"/>
            <w:vAlign w:val="center"/>
          </w:tcPr>
          <w:p>
            <w:pPr>
              <w:widowControl/>
              <w:ind w:firstLine="0" w:firstLineChars="0"/>
              <w:jc w:val="center"/>
              <w:rPr>
                <w:rFonts w:ascii="Times New Roman" w:hAnsi="Times New Roman"/>
                <w:sz w:val="24"/>
                <w:szCs w:val="24"/>
              </w:rPr>
            </w:pPr>
            <w:r>
              <w:rPr>
                <w:rFonts w:ascii="Times New Roman" w:hAnsi="Times New Roman"/>
                <w:sz w:val="24"/>
                <w:szCs w:val="24"/>
              </w:rPr>
              <w:t>81</w:t>
            </w:r>
          </w:p>
        </w:tc>
      </w:tr>
    </w:tbl>
    <w:p>
      <w:pPr>
        <w:pStyle w:val="4"/>
        <w:rPr>
          <w:shd w:val="clear" w:color="auto" w:fill="auto"/>
        </w:rPr>
      </w:pPr>
      <w:bookmarkStart w:id="11" w:name="_Toc475456946"/>
      <w:r>
        <w:rPr>
          <w:shd w:val="clear" w:color="auto" w:fill="auto"/>
        </w:rPr>
        <w:t>4、</w:t>
      </w:r>
      <w:r>
        <w:rPr>
          <w:rFonts w:hint="eastAsia"/>
          <w:shd w:val="clear" w:color="auto" w:fill="auto"/>
        </w:rPr>
        <w:t>生产</w:t>
      </w:r>
      <w:r>
        <w:rPr>
          <w:shd w:val="clear" w:color="auto" w:fill="auto"/>
        </w:rPr>
        <w:t>配套好，形成良好协作机制</w:t>
      </w:r>
      <w:bookmarkEnd w:id="11"/>
    </w:p>
    <w:p>
      <w:pPr>
        <w:pStyle w:val="35"/>
        <w:ind w:firstLine="640"/>
      </w:pPr>
      <w:r>
        <w:t>经过多年的整合提升，磁性电子产业已形成从铁氧体预烧料到磁材器件和电机产品的完整产业链，专业</w:t>
      </w:r>
      <w:r>
        <w:rPr>
          <w:rFonts w:hint="eastAsia"/>
        </w:rPr>
        <w:t>协作</w:t>
      </w:r>
      <w:r>
        <w:t>水平不断增强。在产业链上游，已开发生产铁氧体预烧料和磁粉，使磁性产业的产品加工链延伸到原材料供应环节；在产业链下游，已开发与磁性材料密切相关的音响、扬声器、芯片、磁电机、变压器等电子元器件产品和机电设备产品，并涉足新能源产业等，改变了多年来只生产磁钢产品的单一结构，有效促进了产业链条的延伸和拓展。</w:t>
      </w:r>
    </w:p>
    <w:p>
      <w:pPr>
        <w:pStyle w:val="41"/>
      </w:pPr>
      <w:r>
        <w:t>表</w:t>
      </w:r>
      <w:r>
        <w:fldChar w:fldCharType="begin"/>
      </w:r>
      <w:r>
        <w:instrText xml:space="preserve"> SEQ 表格 \* ARABIC </w:instrText>
      </w:r>
      <w:r>
        <w:fldChar w:fldCharType="separate"/>
      </w:r>
      <w:r>
        <w:t>3</w:t>
      </w:r>
      <w:r>
        <w:fldChar w:fldCharType="end"/>
      </w:r>
      <w:r>
        <w:t xml:space="preserve"> 磁性材料产业下游产品及代表企业</w:t>
      </w:r>
    </w:p>
    <w:tbl>
      <w:tblPr>
        <w:tblStyle w:val="15"/>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5930"/>
        <w:gridCol w:w="141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D8D8D8" w:themeFill="background1" w:themeFillShade="D9"/>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下游产品</w:t>
            </w:r>
          </w:p>
        </w:tc>
        <w:tc>
          <w:tcPr>
            <w:tcW w:w="0" w:type="auto"/>
            <w:shd w:val="clear" w:color="auto" w:fill="D8D8D8" w:themeFill="background1" w:themeFillShade="D9"/>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应用范围</w:t>
            </w:r>
          </w:p>
        </w:tc>
        <w:tc>
          <w:tcPr>
            <w:tcW w:w="0" w:type="auto"/>
            <w:shd w:val="clear" w:color="auto" w:fill="D8D8D8" w:themeFill="background1" w:themeFillShade="D9"/>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代表企业</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电机</w:t>
            </w:r>
          </w:p>
        </w:tc>
        <w:tc>
          <w:tcPr>
            <w:tcW w:w="0" w:type="auto"/>
            <w:shd w:val="clear" w:color="auto" w:fill="auto"/>
            <w:vAlign w:val="center"/>
          </w:tcPr>
          <w:p>
            <w:pPr>
              <w:widowControl/>
              <w:ind w:firstLine="0" w:firstLineChars="0"/>
              <w:rPr>
                <w:rFonts w:ascii="Times New Roman" w:hAnsi="Times New Roman"/>
                <w:sz w:val="24"/>
                <w:szCs w:val="24"/>
              </w:rPr>
            </w:pPr>
            <w:r>
              <w:rPr>
                <w:rFonts w:ascii="Times New Roman" w:hAnsi="Times New Roman"/>
                <w:sz w:val="24"/>
                <w:szCs w:val="24"/>
              </w:rPr>
              <w:t>汽车（起动器电机、燃料泵电机、制动器系统用电机、风机电机、电动助力转向装置电机等）</w:t>
            </w:r>
            <w:r>
              <w:rPr>
                <w:rFonts w:ascii="Times New Roman" w:hAnsi="Times New Roman"/>
                <w:sz w:val="24"/>
                <w:szCs w:val="24"/>
              </w:rPr>
              <w:br w:type="textWrapping"/>
            </w:r>
            <w:r>
              <w:rPr>
                <w:rFonts w:ascii="Times New Roman" w:hAnsi="Times New Roman"/>
                <w:sz w:val="24"/>
                <w:szCs w:val="24"/>
              </w:rPr>
              <w:t>计算机和办公设备（磁盘驱动电机、光驱电机、打印机送纸电机、风扇电机等）</w:t>
            </w:r>
            <w:r>
              <w:rPr>
                <w:rFonts w:ascii="Times New Roman" w:hAnsi="Times New Roman"/>
                <w:sz w:val="24"/>
                <w:szCs w:val="24"/>
              </w:rPr>
              <w:br w:type="textWrapping"/>
            </w:r>
            <w:r>
              <w:rPr>
                <w:rFonts w:ascii="Times New Roman" w:hAnsi="Times New Roman"/>
                <w:sz w:val="24"/>
                <w:szCs w:val="24"/>
              </w:rPr>
              <w:t>家电（驱动电机、风扇电机、压缩机电机等）</w:t>
            </w:r>
            <w:r>
              <w:rPr>
                <w:rFonts w:ascii="Times New Roman" w:hAnsi="Times New Roman"/>
                <w:sz w:val="24"/>
                <w:szCs w:val="24"/>
              </w:rPr>
              <w:br w:type="textWrapping"/>
            </w:r>
            <w:r>
              <w:rPr>
                <w:rFonts w:ascii="Times New Roman" w:hAnsi="Times New Roman"/>
                <w:sz w:val="24"/>
                <w:szCs w:val="24"/>
              </w:rPr>
              <w:t>电动玩具（动力电机）</w:t>
            </w:r>
            <w:r>
              <w:rPr>
                <w:rFonts w:ascii="Times New Roman" w:hAnsi="Times New Roman"/>
                <w:sz w:val="24"/>
                <w:szCs w:val="24"/>
              </w:rPr>
              <w:br w:type="textWrapping"/>
            </w:r>
            <w:r>
              <w:rPr>
                <w:rFonts w:ascii="Times New Roman" w:hAnsi="Times New Roman"/>
                <w:sz w:val="24"/>
                <w:szCs w:val="24"/>
              </w:rPr>
              <w:t>电动工具（驱动电机）</w:t>
            </w:r>
          </w:p>
        </w:tc>
        <w:tc>
          <w:tcPr>
            <w:tcW w:w="0" w:type="auto"/>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联宜电机</w:t>
            </w:r>
            <w:r>
              <w:rPr>
                <w:rFonts w:ascii="Times New Roman" w:hAnsi="Times New Roman"/>
                <w:sz w:val="24"/>
                <w:szCs w:val="24"/>
              </w:rPr>
              <w:br w:type="textWrapping"/>
            </w:r>
            <w:r>
              <w:rPr>
                <w:rFonts w:ascii="Times New Roman" w:hAnsi="Times New Roman"/>
                <w:sz w:val="24"/>
                <w:szCs w:val="24"/>
              </w:rPr>
              <w:t>东政电机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扬声器</w:t>
            </w:r>
          </w:p>
        </w:tc>
        <w:tc>
          <w:tcPr>
            <w:tcW w:w="0" w:type="auto"/>
            <w:shd w:val="clear" w:color="auto" w:fill="auto"/>
            <w:noWrap/>
            <w:vAlign w:val="center"/>
          </w:tcPr>
          <w:p>
            <w:pPr>
              <w:widowControl/>
              <w:ind w:firstLine="0" w:firstLineChars="0"/>
              <w:rPr>
                <w:rFonts w:ascii="Times New Roman" w:hAnsi="Times New Roman"/>
                <w:sz w:val="24"/>
                <w:szCs w:val="24"/>
              </w:rPr>
            </w:pPr>
            <w:r>
              <w:rPr>
                <w:rFonts w:ascii="Times New Roman" w:hAnsi="Times New Roman"/>
                <w:sz w:val="24"/>
                <w:szCs w:val="24"/>
              </w:rPr>
              <w:t>电声产品（音响喇叭、手机听筒等）</w:t>
            </w:r>
          </w:p>
        </w:tc>
        <w:tc>
          <w:tcPr>
            <w:tcW w:w="0" w:type="auto"/>
            <w:shd w:val="clear" w:color="auto" w:fill="auto"/>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全方音响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磁控管</w:t>
            </w:r>
          </w:p>
        </w:tc>
        <w:tc>
          <w:tcPr>
            <w:tcW w:w="0" w:type="auto"/>
            <w:shd w:val="clear" w:color="auto" w:fill="auto"/>
            <w:vAlign w:val="center"/>
          </w:tcPr>
          <w:p>
            <w:pPr>
              <w:widowControl/>
              <w:ind w:firstLine="0" w:firstLineChars="0"/>
              <w:rPr>
                <w:rFonts w:ascii="Times New Roman" w:hAnsi="Times New Roman"/>
                <w:sz w:val="24"/>
                <w:szCs w:val="24"/>
              </w:rPr>
            </w:pPr>
            <w:r>
              <w:rPr>
                <w:rFonts w:ascii="Times New Roman" w:hAnsi="Times New Roman"/>
                <w:sz w:val="24"/>
                <w:szCs w:val="24"/>
              </w:rPr>
              <w:t>微波炉</w:t>
            </w:r>
            <w:r>
              <w:rPr>
                <w:rFonts w:ascii="Times New Roman" w:hAnsi="Times New Roman"/>
                <w:sz w:val="24"/>
                <w:szCs w:val="24"/>
              </w:rPr>
              <w:br w:type="textWrapping"/>
            </w:r>
            <w:r>
              <w:rPr>
                <w:rFonts w:ascii="Times New Roman" w:hAnsi="Times New Roman"/>
                <w:sz w:val="24"/>
                <w:szCs w:val="24"/>
              </w:rPr>
              <w:t>LED灯</w:t>
            </w:r>
          </w:p>
        </w:tc>
        <w:tc>
          <w:tcPr>
            <w:tcW w:w="0" w:type="auto"/>
            <w:shd w:val="clear" w:color="auto" w:fill="auto"/>
            <w:vAlign w:val="center"/>
          </w:tcPr>
          <w:p>
            <w:pPr>
              <w:widowControl/>
              <w:ind w:firstLine="0" w:firstLineChars="0"/>
              <w:jc w:val="center"/>
              <w:rPr>
                <w:rFonts w:ascii="Times New Roman" w:hAnsi="Times New Roman"/>
                <w:sz w:val="24"/>
                <w:szCs w:val="24"/>
              </w:rPr>
            </w:pPr>
            <w:r>
              <w:rPr>
                <w:rFonts w:ascii="Times New Roman" w:hAnsi="Times New Roman"/>
                <w:sz w:val="24"/>
                <w:szCs w:val="24"/>
              </w:rPr>
              <w:t>得邦照明</w:t>
            </w:r>
            <w:r>
              <w:rPr>
                <w:rFonts w:ascii="Times New Roman" w:hAnsi="Times New Roman"/>
                <w:sz w:val="24"/>
                <w:szCs w:val="24"/>
              </w:rPr>
              <w:br w:type="textWrapping"/>
            </w:r>
            <w:r>
              <w:rPr>
                <w:rFonts w:ascii="Times New Roman" w:hAnsi="Times New Roman"/>
                <w:sz w:val="24"/>
                <w:szCs w:val="24"/>
              </w:rPr>
              <w:t>明凯照明</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shd w:val="clear" w:color="auto" w:fill="auto"/>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传感器</w:t>
            </w:r>
          </w:p>
        </w:tc>
        <w:tc>
          <w:tcPr>
            <w:tcW w:w="0" w:type="auto"/>
            <w:shd w:val="clear" w:color="auto" w:fill="auto"/>
            <w:noWrap/>
            <w:vAlign w:val="center"/>
          </w:tcPr>
          <w:p>
            <w:pPr>
              <w:widowControl/>
              <w:ind w:firstLine="0" w:firstLineChars="0"/>
              <w:rPr>
                <w:rFonts w:ascii="Times New Roman" w:hAnsi="Times New Roman"/>
                <w:sz w:val="24"/>
                <w:szCs w:val="24"/>
              </w:rPr>
            </w:pPr>
            <w:r>
              <w:rPr>
                <w:rFonts w:ascii="Times New Roman" w:hAnsi="Times New Roman"/>
                <w:sz w:val="24"/>
                <w:szCs w:val="24"/>
              </w:rPr>
              <w:t>变频器</w:t>
            </w:r>
          </w:p>
        </w:tc>
        <w:tc>
          <w:tcPr>
            <w:tcW w:w="0" w:type="auto"/>
            <w:shd w:val="clear" w:color="auto" w:fill="auto"/>
            <w:noWrap/>
            <w:vAlign w:val="center"/>
          </w:tcPr>
          <w:p>
            <w:pPr>
              <w:widowControl/>
              <w:ind w:firstLine="0" w:firstLineChars="0"/>
              <w:jc w:val="center"/>
              <w:rPr>
                <w:rFonts w:ascii="Times New Roman" w:hAnsi="Times New Roman"/>
                <w:sz w:val="24"/>
                <w:szCs w:val="24"/>
              </w:rPr>
            </w:pPr>
            <w:r>
              <w:rPr>
                <w:rFonts w:ascii="Times New Roman" w:hAnsi="Times New Roman"/>
                <w:sz w:val="24"/>
                <w:szCs w:val="24"/>
              </w:rPr>
              <w:t>富仕特磁业</w:t>
            </w:r>
          </w:p>
        </w:tc>
      </w:tr>
      <w:bookmarkEnd w:id="9"/>
    </w:tbl>
    <w:p>
      <w:pPr>
        <w:pStyle w:val="3"/>
        <w:rPr>
          <w:shd w:val="clear" w:color="auto" w:fill="auto"/>
        </w:rPr>
      </w:pPr>
      <w:bookmarkStart w:id="12" w:name="_Toc475457199"/>
      <w:bookmarkStart w:id="13" w:name="_Toc475457338"/>
      <w:bookmarkStart w:id="14" w:name="_Toc475456947"/>
      <w:r>
        <w:rPr>
          <w:shd w:val="clear" w:color="auto" w:fill="auto"/>
        </w:rPr>
        <w:t>（二）优势与机遇</w:t>
      </w:r>
      <w:bookmarkEnd w:id="12"/>
      <w:bookmarkEnd w:id="13"/>
      <w:bookmarkEnd w:id="14"/>
    </w:p>
    <w:p>
      <w:pPr>
        <w:pStyle w:val="35"/>
        <w:ind w:firstLine="640"/>
      </w:pPr>
      <w:r>
        <w:rPr>
          <w:rFonts w:hint="eastAsia"/>
        </w:rPr>
        <w:t>经过30余年的快速发展，东阳磁性电子产业已逐渐形成齐全的产品系列、较高的技术水平和健全的市场体系，能够满足新兴市场对产品的新需求、节能环保技术对磁性材料的新要求和政府对产业引领的新导向，“十三五”时期，东阳磁性电子产业发展机遇较大。</w:t>
      </w:r>
    </w:p>
    <w:p>
      <w:pPr>
        <w:pStyle w:val="4"/>
        <w:rPr>
          <w:shd w:val="clear" w:color="auto" w:fill="auto"/>
        </w:rPr>
      </w:pPr>
      <w:bookmarkStart w:id="15" w:name="_Toc467576743"/>
      <w:bookmarkStart w:id="16" w:name="_Toc475456948"/>
      <w:r>
        <w:rPr>
          <w:shd w:val="clear" w:color="auto" w:fill="auto"/>
        </w:rPr>
        <w:t>1、产品品种齐全，满足新兴市场需求</w:t>
      </w:r>
      <w:bookmarkEnd w:id="15"/>
      <w:bookmarkEnd w:id="16"/>
    </w:p>
    <w:p>
      <w:pPr>
        <w:pStyle w:val="35"/>
        <w:ind w:firstLine="640"/>
      </w:pPr>
      <w:r>
        <w:t>随着电子信息产品朝着数字化和智能化方向发展，高性能磁性电子材料在汽车电子、4G、物联网、智能手机等新兴领域发展前景广阔。虽然国际市场有所下降，但国内市场消费升级换代正在加速，汽车、通讯等下游行业的销售量</w:t>
      </w:r>
      <w:r>
        <w:rPr>
          <w:rFonts w:hint="eastAsia"/>
        </w:rPr>
        <w:t>仍将</w:t>
      </w:r>
      <w:r>
        <w:t>持续快速增加；另一方面，工业4.0、智能制造、机器人等快速发展，都将对磁性电子产业产生巨大需求。</w:t>
      </w:r>
    </w:p>
    <w:p>
      <w:pPr>
        <w:pStyle w:val="35"/>
        <w:ind w:firstLine="640"/>
      </w:pPr>
      <w:r>
        <w:t>东阳磁性电子产业经过30多年发展，已能批量生产铁氧体永磁、铁氧体软磁、钕铁硼稀土永磁、橡塑磁4大门类70多个品种20000多个规格的磁材产品，基本涵盖了家电、汽车、计算机、通讯、医疗、航天、军事等主要应用领域，能满足消费产品升级和制造方式提升对磁性材料的需求，为磁性电子产业快速壮大奠定坚实基础。</w:t>
      </w:r>
    </w:p>
    <w:p>
      <w:pPr>
        <w:pStyle w:val="4"/>
        <w:rPr>
          <w:shd w:val="clear" w:color="auto" w:fill="auto"/>
        </w:rPr>
      </w:pPr>
      <w:bookmarkStart w:id="17" w:name="_Toc467576744"/>
      <w:bookmarkStart w:id="18" w:name="_Toc475456949"/>
      <w:r>
        <w:rPr>
          <w:shd w:val="clear" w:color="auto" w:fill="auto"/>
        </w:rPr>
        <w:t>2、科技水平领先，满足节能环保要求</w:t>
      </w:r>
      <w:bookmarkEnd w:id="17"/>
      <w:bookmarkEnd w:id="18"/>
    </w:p>
    <w:p>
      <w:pPr>
        <w:pStyle w:val="35"/>
        <w:ind w:firstLine="640"/>
      </w:pPr>
      <w:r>
        <w:t>随着节能环保理念不断深入人心，以及全球资源持续紧张、环境压力不断增大，使用更环保设备、生产更节能产品成为大势所趋。在变频家电行业和工业产品生产中的广泛应用的具有节能减排功效的超高效永磁电动机、调速高效永磁电动机，绿色照明、绿色能源等绿色环保工程中应用的电子节能灯和半导体发光二极管（LED）等，都对磁性电子材料提出新的要求；而风力发电、</w:t>
      </w:r>
      <w:r>
        <w:rPr>
          <w:rFonts w:hint="eastAsia"/>
        </w:rPr>
        <w:t>节能环保技术、新能源汽车产业</w:t>
      </w:r>
      <w:r>
        <w:t>的发展对磁材的需求巨大，将带动磁材行业进入新的里程。</w:t>
      </w:r>
    </w:p>
    <w:p>
      <w:pPr>
        <w:pStyle w:val="35"/>
        <w:ind w:firstLine="640"/>
      </w:pPr>
      <w:r>
        <w:rPr>
          <w:rFonts w:hint="eastAsia"/>
        </w:rPr>
        <w:t>东阳磁性电子产业生产设备国内领先，质量检测设备、标准化生产体系优良，部分产品技术含量可与日本顶尖水平相媲美。截至</w:t>
      </w:r>
      <w:r>
        <w:t>2015</w:t>
      </w:r>
      <w:r>
        <w:rPr>
          <w:rFonts w:hint="eastAsia"/>
        </w:rPr>
        <w:t>年末，共拥有省级及以上研发平台</w:t>
      </w:r>
      <w:r>
        <w:t>8</w:t>
      </w:r>
      <w:r>
        <w:rPr>
          <w:rFonts w:hint="eastAsia"/>
        </w:rPr>
        <w:t>个，国家高新技术企业</w:t>
      </w:r>
      <w:r>
        <w:t>6</w:t>
      </w:r>
      <w:r>
        <w:rPr>
          <w:rFonts w:hint="eastAsia"/>
        </w:rPr>
        <w:t>家，建有国家磁性材料专利导航工程</w:t>
      </w:r>
      <w:r>
        <w:t>1</w:t>
      </w:r>
      <w:r>
        <w:rPr>
          <w:rFonts w:hint="eastAsia"/>
        </w:rPr>
        <w:t>个，拥有外聘专家</w:t>
      </w:r>
      <w:r>
        <w:t>13</w:t>
      </w:r>
      <w:r>
        <w:rPr>
          <w:rFonts w:hint="eastAsia"/>
        </w:rPr>
        <w:t>名，研究生以上学历</w:t>
      </w:r>
      <w:r>
        <w:t>48</w:t>
      </w:r>
      <w:r>
        <w:rPr>
          <w:rFonts w:hint="eastAsia"/>
        </w:rPr>
        <w:t>名，磁性材料高级工程师</w:t>
      </w:r>
      <w:r>
        <w:t>126</w:t>
      </w:r>
      <w:r>
        <w:rPr>
          <w:rFonts w:hint="eastAsia"/>
        </w:rPr>
        <w:t>名，工程师</w:t>
      </w:r>
      <w:r>
        <w:t>324</w:t>
      </w:r>
      <w:r>
        <w:rPr>
          <w:rFonts w:hint="eastAsia"/>
        </w:rPr>
        <w:t>名。在节能环保领域已打下扎实基础：高效永磁电动机领域，联宜电机基础扎实；电子节能灯、</w:t>
      </w:r>
      <w:r>
        <w:t>LED</w:t>
      </w:r>
      <w:r>
        <w:rPr>
          <w:rFonts w:hint="eastAsia"/>
        </w:rPr>
        <w:t>方面，得邦照明已取得一定成就；新能源汽车领域，横店东磁已开展相关部署。</w:t>
      </w:r>
    </w:p>
    <w:p>
      <w:pPr>
        <w:pStyle w:val="4"/>
        <w:rPr>
          <w:shd w:val="clear" w:color="auto" w:fill="auto"/>
        </w:rPr>
      </w:pPr>
      <w:bookmarkStart w:id="19" w:name="_Toc475456950"/>
      <w:bookmarkStart w:id="20" w:name="_Toc467576745"/>
      <w:r>
        <w:rPr>
          <w:shd w:val="clear" w:color="auto" w:fill="auto"/>
        </w:rPr>
        <w:t>3、市场优势突出，满足国家政策导向</w:t>
      </w:r>
      <w:bookmarkEnd w:id="19"/>
      <w:bookmarkEnd w:id="20"/>
    </w:p>
    <w:p>
      <w:pPr>
        <w:pStyle w:val="35"/>
        <w:ind w:firstLine="640"/>
      </w:pPr>
      <w:r>
        <w:t>磁性材料是国家重点支持的高新技术产业之一，《中国磁性材料产业“十二五”发展规划》、《新材料产业“十三五”规划》、《中国制造2025》等均鼓励大力发展磁性材料。国家拉动内需投资计划、4G/5G建设、家电下乡、新能源汽车购置补贴等刺激内需消费政策和加大基础设施建设方针，均为磁性电子材料产业指明方向。</w:t>
      </w:r>
    </w:p>
    <w:p>
      <w:pPr>
        <w:pStyle w:val="35"/>
        <w:ind w:firstLine="640"/>
      </w:pPr>
      <w:r>
        <w:t>东阳磁性电子材料行业作为东阳支柱产业，优势突出。一方面，企业市场占有率和客户稳定率均较高，市场地位突出；并广泛借助电子商务平台，开展国内、国际产品销售和交易，进一步加速了市场的拓展。另一方面，企业管理经验丰富，对新产品、新技术的研发和生产具有较强的敏锐度，吸收能力强、效率高，能在短时间内形成产业化生产，为企业带来效益，促进产业的良性发展。良好的客户关系、丰富的管理经验，为应对瞬息万变的市场奠定坚实基础。</w:t>
      </w:r>
    </w:p>
    <w:p>
      <w:pPr>
        <w:pStyle w:val="3"/>
        <w:rPr>
          <w:shd w:val="clear" w:color="auto" w:fill="auto"/>
        </w:rPr>
      </w:pPr>
      <w:bookmarkStart w:id="21" w:name="_Toc475457200"/>
      <w:bookmarkStart w:id="22" w:name="_Toc475457339"/>
      <w:bookmarkStart w:id="23" w:name="_Toc475456951"/>
      <w:r>
        <w:rPr>
          <w:shd w:val="clear" w:color="auto" w:fill="auto"/>
        </w:rPr>
        <w:t>（三）短板与挑战</w:t>
      </w:r>
      <w:bookmarkEnd w:id="21"/>
      <w:bookmarkEnd w:id="22"/>
      <w:bookmarkEnd w:id="23"/>
    </w:p>
    <w:p>
      <w:pPr>
        <w:pStyle w:val="35"/>
        <w:ind w:firstLine="640"/>
      </w:pPr>
      <w:r>
        <w:rPr>
          <w:rFonts w:hint="eastAsia"/>
        </w:rPr>
        <w:t>与先进地区相比，特别是与美、日、欧等磁性电子产业发达地区相比，产品品质依旧不高、设备更新速度较慢，再加上国内产品同质竞争激烈，依然面临着易被</w:t>
      </w:r>
      <w:r>
        <w:t>发达</w:t>
      </w:r>
      <w:r>
        <w:rPr>
          <w:rFonts w:hint="eastAsia"/>
        </w:rPr>
        <w:t>国家</w:t>
      </w:r>
      <w:r>
        <w:t>取代、</w:t>
      </w:r>
      <w:r>
        <w:rPr>
          <w:rFonts w:hint="eastAsia"/>
        </w:rPr>
        <w:t>后发</w:t>
      </w:r>
      <w:r>
        <w:t>地区赶超和</w:t>
      </w:r>
      <w:r>
        <w:rPr>
          <w:rFonts w:hint="eastAsia"/>
        </w:rPr>
        <w:t>原料</w:t>
      </w:r>
      <w:r>
        <w:t>市场冲击等挑战。</w:t>
      </w:r>
    </w:p>
    <w:p>
      <w:pPr>
        <w:pStyle w:val="4"/>
        <w:rPr>
          <w:shd w:val="clear" w:color="auto" w:fill="auto"/>
        </w:rPr>
      </w:pPr>
      <w:bookmarkStart w:id="24" w:name="_Toc467576747"/>
      <w:bookmarkStart w:id="25" w:name="_Toc475456952"/>
      <w:r>
        <w:rPr>
          <w:shd w:val="clear" w:color="auto" w:fill="auto"/>
        </w:rPr>
        <w:t>1、</w:t>
      </w:r>
      <w:r>
        <w:rPr>
          <w:rFonts w:hint="eastAsia"/>
          <w:shd w:val="clear" w:color="auto" w:fill="auto"/>
        </w:rPr>
        <w:t>产品品质较低，易被发达</w:t>
      </w:r>
      <w:r>
        <w:rPr>
          <w:rFonts w:hint="eastAsia"/>
        </w:rPr>
        <w:t>国家限制</w:t>
      </w:r>
      <w:bookmarkEnd w:id="24"/>
      <w:bookmarkEnd w:id="25"/>
    </w:p>
    <w:p>
      <w:pPr>
        <w:pStyle w:val="35"/>
        <w:ind w:firstLine="640"/>
      </w:pPr>
      <w:r>
        <w:t>虽然东阳是我省乃至全国磁性电子产业大市，磁性材料产量在全国乃至全球都占较大比重，但设备、工艺、技术与国外先进企业相比，仍有一定差距</w:t>
      </w:r>
      <w:r>
        <w:rPr>
          <w:rFonts w:hint="eastAsia"/>
        </w:rPr>
        <w:t>；多项电子元器件产品产量已达到一定规模，而高端产品依旧依赖进口</w:t>
      </w:r>
      <w:r>
        <w:t>。出口国际市场的</w:t>
      </w:r>
      <w:r>
        <w:rPr>
          <w:rFonts w:hint="eastAsia"/>
        </w:rPr>
        <w:t>磁性电子</w:t>
      </w:r>
      <w:r>
        <w:t>产品缺乏国际竞争力。</w:t>
      </w:r>
    </w:p>
    <w:p>
      <w:pPr>
        <w:pStyle w:val="35"/>
        <w:ind w:firstLine="640"/>
      </w:pPr>
      <w:r>
        <w:t>发达国家进入磁性电子产业早于中国，具有较强的技术积累。一方面，许多世界著名磁性电子产业制造企业已在国内建立了合资或独资生产企业，如日本的TDK，欧洲的PHILIPS、VAC，美国的ARNORD等；另一方面，在“制造业回归”浪潮中，欧美等老牌</w:t>
      </w:r>
      <w:r>
        <w:rPr>
          <w:rFonts w:hint="eastAsia"/>
        </w:rPr>
        <w:t>磁性电子</w:t>
      </w:r>
      <w:r>
        <w:t>企业又在本土</w:t>
      </w:r>
      <w:r>
        <w:rPr>
          <w:rFonts w:hint="eastAsia"/>
        </w:rPr>
        <w:t>重新</w:t>
      </w:r>
      <w:r>
        <w:t>布局高端产品生产线。东阳磁性</w:t>
      </w:r>
      <w:r>
        <w:rPr>
          <w:rFonts w:hint="eastAsia"/>
        </w:rPr>
        <w:t>电子企业</w:t>
      </w:r>
      <w:r>
        <w:t>欲在高性能、高档次产品实现突破，必须面对发达国家技术领先和装备强大的挑战，努力提高磁性电子产业的科技含量，提升产品品质。</w:t>
      </w:r>
    </w:p>
    <w:p>
      <w:pPr>
        <w:pStyle w:val="4"/>
        <w:rPr>
          <w:shd w:val="clear" w:color="auto" w:fill="auto"/>
        </w:rPr>
      </w:pPr>
      <w:bookmarkStart w:id="26" w:name="_Toc467576748"/>
      <w:bookmarkStart w:id="27" w:name="_Toc475456953"/>
      <w:r>
        <w:rPr>
          <w:shd w:val="clear" w:color="auto" w:fill="auto"/>
        </w:rPr>
        <w:t>2、</w:t>
      </w:r>
      <w:r>
        <w:rPr>
          <w:rFonts w:hint="eastAsia"/>
          <w:shd w:val="clear" w:color="auto" w:fill="auto"/>
        </w:rPr>
        <w:t>同质竞争激烈，易受原料市场冲击</w:t>
      </w:r>
      <w:bookmarkEnd w:id="26"/>
      <w:bookmarkEnd w:id="27"/>
    </w:p>
    <w:p>
      <w:pPr>
        <w:pStyle w:val="35"/>
        <w:ind w:firstLine="640"/>
      </w:pPr>
      <w:r>
        <w:t>磁性电子产业进入门槛相对较低，产品应用范围广，长期处于供不应求状态，导致许多中小企业生产的产品差异性较小，同质化竞争矛盾突出。特别在行情不好的时期，中小企业凭借较低的管理成本和财务成本，往往采取降价走量的竞争策略，导致利润空间不断下降，行业内部经常出现价格倾轧的局面，造成产业内部无序化、低档化的恶性竞争。</w:t>
      </w:r>
    </w:p>
    <w:p>
      <w:pPr>
        <w:pStyle w:val="35"/>
        <w:ind w:firstLine="640"/>
      </w:pPr>
      <w:r>
        <w:t>磁材是一种取材于基础材料再加工的配件产品，对原材料的依存度很大。</w:t>
      </w:r>
      <w:r>
        <w:rPr>
          <w:rFonts w:hint="eastAsia"/>
        </w:rPr>
        <w:t>近年</w:t>
      </w:r>
      <w:r>
        <w:t>来，铁矿石、稀土等初级原料产品受</w:t>
      </w:r>
      <w:r>
        <w:rPr>
          <w:rFonts w:hint="eastAsia"/>
        </w:rPr>
        <w:t>国际国内</w:t>
      </w:r>
      <w:r>
        <w:t>市场的影响，价格波动较大。在国家把稀土纳入指令性计划、对稀土实行总量控制等政策的冲击下，稀土原料价格持续上涨，进一步挤压磁材生产企业利润空间</w:t>
      </w:r>
      <w:r>
        <w:rPr>
          <w:rFonts w:hint="eastAsia"/>
        </w:rPr>
        <w:t>；基础元器件用国产关键材料严重缺失，已成为制约电子行业高端化发展的首要瓶颈。</w:t>
      </w:r>
      <w:r>
        <w:t>东阳磁性电子产业欲实现可持续发展，必须改变低端锁定、低价竞争的局面，在不断提升产品质量的同时走差异化发展道路。</w:t>
      </w:r>
    </w:p>
    <w:p>
      <w:pPr>
        <w:pStyle w:val="4"/>
        <w:rPr>
          <w:shd w:val="clear" w:color="auto" w:fill="auto"/>
        </w:rPr>
      </w:pPr>
      <w:bookmarkStart w:id="28" w:name="_Toc467576749"/>
      <w:bookmarkStart w:id="29" w:name="_Toc475456954"/>
      <w:r>
        <w:rPr>
          <w:shd w:val="clear" w:color="auto" w:fill="auto"/>
        </w:rPr>
        <w:t>3、</w:t>
      </w:r>
      <w:r>
        <w:rPr>
          <w:rFonts w:hint="eastAsia"/>
          <w:shd w:val="clear" w:color="auto" w:fill="auto"/>
        </w:rPr>
        <w:t>设备更新缓慢，易让后发地区赶超</w:t>
      </w:r>
      <w:bookmarkEnd w:id="28"/>
      <w:bookmarkEnd w:id="29"/>
    </w:p>
    <w:p>
      <w:pPr>
        <w:pStyle w:val="35"/>
        <w:ind w:firstLine="640"/>
      </w:pPr>
      <w:r>
        <w:t>作为磁性电子材料产业的先发地区，东阳大多企业都具有较长的发展历史。虽然近年来政府、企业</w:t>
      </w:r>
      <w:r>
        <w:rPr>
          <w:rFonts w:hint="eastAsia"/>
        </w:rPr>
        <w:t>大力</w:t>
      </w:r>
      <w:r>
        <w:t>采取“机器换人”、“两化融合”等项目提升设备数字化、智能化水平，但大多数中小企业由于发展视野</w:t>
      </w:r>
      <w:r>
        <w:rPr>
          <w:rFonts w:hint="eastAsia"/>
        </w:rPr>
        <w:t>狭小</w:t>
      </w:r>
      <w:r>
        <w:t>、企业实力</w:t>
      </w:r>
      <w:r>
        <w:rPr>
          <w:rFonts w:hint="eastAsia"/>
        </w:rPr>
        <w:t>薄弱</w:t>
      </w:r>
      <w:r>
        <w:t>等多方面因素，对设备更新重视不足或速度较慢，不仅影响产品质量，</w:t>
      </w:r>
      <w:r>
        <w:rPr>
          <w:rFonts w:hint="eastAsia"/>
        </w:rPr>
        <w:t>还造成一定的安全、环境隐患。</w:t>
      </w:r>
    </w:p>
    <w:p>
      <w:pPr>
        <w:pStyle w:val="35"/>
        <w:ind w:firstLine="640"/>
      </w:pPr>
      <w:r>
        <w:rPr>
          <w:rFonts w:hint="eastAsia"/>
        </w:rPr>
        <w:t>磁性电子产业</w:t>
      </w:r>
      <w:r>
        <w:t>的良好发展前景吸引了国内其他地区企业大举介入，特别是具有资源、能源和劳动力优势的中西部地区，给东阳磁性电子产业发展带来较大冲击。东阳磁性电子产业欲与具备原材料、</w:t>
      </w:r>
      <w:r>
        <w:rPr>
          <w:rFonts w:hint="eastAsia"/>
        </w:rPr>
        <w:t>设备等优势</w:t>
      </w:r>
      <w:r>
        <w:t>的后发地区竞争，必须加快“机器换人”步伐，进一步优化工艺和流程，加强与上下游的紧密合作，走产业链竞争之路。</w:t>
      </w:r>
    </w:p>
    <w:p>
      <w:pPr>
        <w:pStyle w:val="32"/>
        <w:spacing w:line="560" w:lineRule="exact"/>
        <w:rPr>
          <w:rFonts w:ascii="Times New Roman" w:hAnsi="Times New Roman"/>
        </w:rPr>
      </w:pPr>
    </w:p>
    <w:p>
      <w:pPr>
        <w:pStyle w:val="32"/>
        <w:spacing w:line="560" w:lineRule="exact"/>
        <w:ind w:firstLine="643"/>
        <w:rPr>
          <w:rFonts w:ascii="Times New Roman" w:hAnsi="Times New Roman"/>
        </w:rPr>
      </w:pPr>
      <w:r>
        <w:rPr>
          <w:rFonts w:ascii="Times New Roman" w:hAnsi="Times New Roman" w:eastAsia="黑体"/>
          <w:b/>
        </w:rPr>
        <w:br w:type="page"/>
      </w:r>
    </w:p>
    <w:p>
      <w:pPr>
        <w:pStyle w:val="2"/>
      </w:pPr>
      <w:bookmarkStart w:id="30" w:name="_Toc475456955"/>
      <w:bookmarkStart w:id="31" w:name="_Toc475457340"/>
      <w:bookmarkStart w:id="32" w:name="_Toc475457201"/>
      <w:r>
        <w:rPr>
          <w:rFonts w:hint="eastAsia"/>
        </w:rPr>
        <w:t>二、</w:t>
      </w:r>
      <w:r>
        <w:t>东阳磁性电子产业发展的总体要求</w:t>
      </w:r>
      <w:bookmarkEnd w:id="30"/>
      <w:bookmarkEnd w:id="31"/>
      <w:bookmarkEnd w:id="32"/>
    </w:p>
    <w:p>
      <w:pPr>
        <w:pStyle w:val="3"/>
        <w:rPr>
          <w:shd w:val="clear" w:color="auto" w:fill="auto"/>
        </w:rPr>
      </w:pPr>
      <w:bookmarkStart w:id="33" w:name="_Toc475456956"/>
      <w:bookmarkStart w:id="34" w:name="_Toc475457202"/>
      <w:bookmarkStart w:id="35" w:name="_Toc475457341"/>
      <w:r>
        <w:rPr>
          <w:shd w:val="clear" w:color="auto" w:fill="auto"/>
        </w:rPr>
        <w:t>（一）指导思想</w:t>
      </w:r>
      <w:bookmarkEnd w:id="33"/>
      <w:bookmarkEnd w:id="34"/>
      <w:bookmarkEnd w:id="35"/>
    </w:p>
    <w:p>
      <w:pPr>
        <w:pStyle w:val="35"/>
        <w:ind w:firstLine="640"/>
      </w:pPr>
      <w:r>
        <w:t>深入贯彻</w:t>
      </w:r>
      <w:r>
        <w:rPr>
          <w:rFonts w:hint="eastAsia"/>
        </w:rPr>
        <w:t>“</w:t>
      </w:r>
      <w:r>
        <w:t>中国制造2025</w:t>
      </w:r>
      <w:r>
        <w:rPr>
          <w:rFonts w:hint="eastAsia"/>
        </w:rPr>
        <w:t>”</w:t>
      </w:r>
      <w:r>
        <w:t>、</w:t>
      </w:r>
      <w:r>
        <w:rPr>
          <w:rFonts w:hint="eastAsia"/>
        </w:rPr>
        <w:t>“</w:t>
      </w:r>
      <w:r>
        <w:t>互联网+</w:t>
      </w:r>
      <w:r>
        <w:rPr>
          <w:rFonts w:hint="eastAsia"/>
        </w:rPr>
        <w:t>”</w:t>
      </w:r>
      <w:r>
        <w:t>战略部署，坚持以</w:t>
      </w:r>
      <w:r>
        <w:rPr>
          <w:rFonts w:hint="eastAsia"/>
        </w:rPr>
        <w:t>“</w:t>
      </w:r>
      <w:r>
        <w:t>八八战略</w:t>
      </w:r>
      <w:r>
        <w:rPr>
          <w:rFonts w:hint="eastAsia"/>
        </w:rPr>
        <w:t>”</w:t>
      </w:r>
      <w:r>
        <w:t>引领转型升级，坚持以五大发展理念促进赶超发展，坚持</w:t>
      </w:r>
      <w:r>
        <w:rPr>
          <w:rFonts w:hint="eastAsia"/>
        </w:rPr>
        <w:t>“</w:t>
      </w:r>
      <w:r>
        <w:t>工业强市</w:t>
      </w:r>
      <w:r>
        <w:rPr>
          <w:rFonts w:hint="eastAsia"/>
        </w:rPr>
        <w:t>”</w:t>
      </w:r>
      <w:r>
        <w:t>建设一张蓝图绘到底，以提质增效为中心，以供给优化为主线，加快释放供给侧结构性改革红利</w:t>
      </w:r>
      <w:r>
        <w:rPr>
          <w:rFonts w:hint="eastAsia"/>
        </w:rPr>
        <w:t>，构建以</w:t>
      </w:r>
      <w:r>
        <w:t>横店</w:t>
      </w:r>
      <w:r>
        <w:rPr>
          <w:rFonts w:hint="eastAsia"/>
        </w:rPr>
        <w:t>电子工业园区和东阳经济开发区为核心的“南北协同、双轮驱动”产业发展格局，实施“六大提升”工程，</w:t>
      </w:r>
      <w:r>
        <w:t>全力打造</w:t>
      </w:r>
      <w:r>
        <w:rPr>
          <w:rFonts w:hint="eastAsia"/>
        </w:rPr>
        <w:t>具有国际影响力的磁性材料产业基地、全国知名的电子元器件产业基地</w:t>
      </w:r>
      <w:r>
        <w:t>，为</w:t>
      </w:r>
      <w:r>
        <w:rPr>
          <w:rFonts w:hint="eastAsia"/>
        </w:rPr>
        <w:t>东阳工业转型升级奠定</w:t>
      </w:r>
      <w:r>
        <w:t>坚实的基础。</w:t>
      </w:r>
    </w:p>
    <w:p>
      <w:pPr>
        <w:pStyle w:val="3"/>
        <w:rPr>
          <w:shd w:val="clear" w:color="auto" w:fill="auto"/>
        </w:rPr>
      </w:pPr>
      <w:bookmarkStart w:id="36" w:name="_Toc475456957"/>
      <w:bookmarkStart w:id="37" w:name="_Toc475457342"/>
      <w:bookmarkStart w:id="38" w:name="_Toc475457203"/>
      <w:r>
        <w:rPr>
          <w:rFonts w:hint="eastAsia"/>
          <w:shd w:val="clear" w:color="auto" w:fill="auto"/>
        </w:rPr>
        <w:t>（二）</w:t>
      </w:r>
      <w:r>
        <w:rPr>
          <w:shd w:val="clear" w:color="auto" w:fill="auto"/>
        </w:rPr>
        <w:t>战略定位</w:t>
      </w:r>
      <w:bookmarkEnd w:id="36"/>
      <w:bookmarkEnd w:id="37"/>
      <w:bookmarkEnd w:id="38"/>
    </w:p>
    <w:p>
      <w:pPr>
        <w:pStyle w:val="35"/>
        <w:ind w:firstLine="640"/>
      </w:pPr>
      <w:r>
        <w:t>立足东阳磁性电子产业基础，力争通过五年的努力，</w:t>
      </w:r>
      <w:r>
        <w:rPr>
          <w:rFonts w:hint="eastAsia"/>
        </w:rPr>
        <w:t>将</w:t>
      </w:r>
      <w:r>
        <w:t>东阳</w:t>
      </w:r>
      <w:r>
        <w:rPr>
          <w:rFonts w:hint="eastAsia"/>
        </w:rPr>
        <w:t>打造成为具有国际影响力的磁性材料产业基地</w:t>
      </w:r>
      <w:r>
        <w:t>、全国知名的电子元器件产业基地。</w:t>
      </w:r>
    </w:p>
    <w:p>
      <w:pPr>
        <w:pStyle w:val="35"/>
      </w:pPr>
      <w:r>
        <w:rPr>
          <w:b/>
        </w:rPr>
        <w:t>——</w:t>
      </w:r>
      <w:r>
        <w:rPr>
          <w:rFonts w:hint="eastAsia"/>
          <w:b/>
        </w:rPr>
        <w:t>具有国际</w:t>
      </w:r>
      <w:r>
        <w:rPr>
          <w:b/>
        </w:rPr>
        <w:t>影响力的</w:t>
      </w:r>
      <w:r>
        <w:rPr>
          <w:rFonts w:hint="eastAsia"/>
          <w:b/>
        </w:rPr>
        <w:t>磁性材料产业基地</w:t>
      </w:r>
      <w:r>
        <w:rPr>
          <w:b/>
        </w:rPr>
        <w:t>。</w:t>
      </w:r>
      <w:r>
        <w:t>充分发挥东阳永磁铁氧体、软磁铁氧体、稀土钕铁硼等领域在产品、技术、科研、管理等方面的发展基础和优势，按照高标准定位，加强配方研制、工艺优化、设备升级等全产业链提升和整合，进一步提高东阳磁性材料产业技术水平、管理模式、制造标准和产品品质，力争更多高端产品替代进口，拓展中高端领域出口份额，在未来引领世界磁材发展潮流</w:t>
      </w:r>
      <w:r>
        <w:rPr>
          <w:rFonts w:hint="eastAsia"/>
        </w:rPr>
        <w:t>。以技术与合作等为纽带，建立产业联盟，坚持龙头引领，抱团发展，提高东阳磁性材料整体水平，</w:t>
      </w:r>
      <w:r>
        <w:t>将东阳磁性材料产业打造成</w:t>
      </w:r>
      <w:r>
        <w:rPr>
          <w:rFonts w:hint="eastAsia"/>
        </w:rPr>
        <w:t>具有国际影响力的磁性材料产业基地</w:t>
      </w:r>
      <w:r>
        <w:t>。</w:t>
      </w:r>
    </w:p>
    <w:p>
      <w:pPr>
        <w:pStyle w:val="35"/>
      </w:pPr>
      <w:r>
        <w:rPr>
          <w:b/>
        </w:rPr>
        <w:t>——全国知名的电子元器件产业基地。</w:t>
      </w:r>
      <w:r>
        <w:t>围绕磁性材料主要应用领域，以龙头骨干企业为引领，以东阳良好的产业配套体系、装备能力为基础，紧抓技术创新和成果转化这两个关键环节，打造与磁性材料企业无缝对接合作模式、建立战略伙伴合作关系，</w:t>
      </w:r>
      <w:r>
        <w:rPr>
          <w:rFonts w:hint="eastAsia"/>
        </w:rPr>
        <w:t>加快</w:t>
      </w:r>
      <w:r>
        <w:t>调整和优化电子元器件产业结构，在电机、电声、照明等领域开发一批具有自主知识产权的产品、培育一批具有较强行业影响力的龙头企业和隐形冠军企业，打造全国知名的电子</w:t>
      </w:r>
      <w:r>
        <w:rPr>
          <w:rFonts w:hint="eastAsia"/>
        </w:rPr>
        <w:t>元器件</w:t>
      </w:r>
      <w:r>
        <w:t>产业基</w:t>
      </w:r>
      <w:r>
        <w:rPr>
          <w:rFonts w:hint="eastAsia"/>
        </w:rPr>
        <w:t>地，逐步形成具有全国领导地位的电子元器件产业基地。</w:t>
      </w:r>
    </w:p>
    <w:p>
      <w:pPr>
        <w:pStyle w:val="3"/>
        <w:rPr>
          <w:shd w:val="clear" w:color="auto" w:fill="auto"/>
        </w:rPr>
      </w:pPr>
      <w:bookmarkStart w:id="39" w:name="_Toc475456958"/>
      <w:bookmarkStart w:id="40" w:name="_Toc475457343"/>
      <w:bookmarkStart w:id="41" w:name="_Toc475457204"/>
      <w:r>
        <w:rPr>
          <w:shd w:val="clear" w:color="auto" w:fill="auto"/>
        </w:rPr>
        <w:t>（</w:t>
      </w:r>
      <w:r>
        <w:rPr>
          <w:rFonts w:hint="eastAsia"/>
          <w:shd w:val="clear" w:color="auto" w:fill="auto"/>
        </w:rPr>
        <w:t>三</w:t>
      </w:r>
      <w:r>
        <w:rPr>
          <w:shd w:val="clear" w:color="auto" w:fill="auto"/>
        </w:rPr>
        <w:t>）基本</w:t>
      </w:r>
      <w:r>
        <w:rPr>
          <w:rFonts w:hint="eastAsia"/>
          <w:shd w:val="clear" w:color="auto" w:fill="auto"/>
        </w:rPr>
        <w:t>原则</w:t>
      </w:r>
      <w:bookmarkEnd w:id="39"/>
      <w:bookmarkEnd w:id="40"/>
      <w:bookmarkEnd w:id="41"/>
    </w:p>
    <w:p>
      <w:pPr>
        <w:pStyle w:val="35"/>
      </w:pPr>
      <w:r>
        <w:rPr>
          <w:b/>
        </w:rPr>
        <w:t>——坚持创新引领。</w:t>
      </w:r>
      <w:r>
        <w:t>充分发挥创新的引领作用，支持企业推进技术、产品、品牌、管理和商业模式创新，完善创新的制度环境，推动各种创新要素集聚，抢占新一轮产业发展制高点，切实增强产业发展的动力和后劲。</w:t>
      </w:r>
    </w:p>
    <w:p>
      <w:pPr>
        <w:pStyle w:val="35"/>
      </w:pPr>
      <w:r>
        <w:rPr>
          <w:b/>
        </w:rPr>
        <w:t>——坚持人才为本。</w:t>
      </w:r>
      <w:r>
        <w:t>加快培养东阳产业发展急需的专业技术人才、经营管理人才，营造大众创业、万众创新的氛围，建设一支素质优良、结构合理的磁性电子产业人才队伍，走人才引领的发展道路。</w:t>
      </w:r>
    </w:p>
    <w:p>
      <w:pPr>
        <w:pStyle w:val="35"/>
      </w:pPr>
      <w:bookmarkStart w:id="42" w:name="_Toc455756325"/>
      <w:bookmarkStart w:id="43" w:name="_Toc453084652"/>
      <w:r>
        <w:rPr>
          <w:b/>
        </w:rPr>
        <w:t>——坚持质量为先。</w:t>
      </w:r>
      <w:r>
        <w:t>坚持把质量作为建设东阳磁性电子产业发展的生命线，强化企业质量主体责任，加强质量技术攻关、自主品牌培育。进一步完善和落实法规标准体系、质量监管体系，形成先进质量文化，营造诚信经营氛围，走以质取胜的发展道路。</w:t>
      </w:r>
      <w:bookmarkEnd w:id="42"/>
      <w:bookmarkEnd w:id="43"/>
    </w:p>
    <w:p>
      <w:pPr>
        <w:pStyle w:val="35"/>
      </w:pPr>
      <w:r>
        <w:rPr>
          <w:b/>
        </w:rPr>
        <w:t>——坚持协调发展。</w:t>
      </w:r>
      <w:r>
        <w:t>既要坚持龙头带动，加快发展磁性材料、照明、电机、电声等领域龙头企业，发挥好龙头企业的核心带动作用；又要坚持分工协作，发挥好成长型中小企业的专业化作用，促进产业整体协调发展。</w:t>
      </w:r>
    </w:p>
    <w:p>
      <w:pPr>
        <w:pStyle w:val="35"/>
      </w:pPr>
      <w:r>
        <w:rPr>
          <w:b/>
        </w:rPr>
        <w:t>——坚持融合发展。</w:t>
      </w:r>
      <w:r>
        <w:t>全面推进新一代信息技术向磁性电子领域渗透融合、制造业与生产性服务业的互动融合，不断提升产业发展的内涵和效率。加强产业发展与城市建设的有机融合，促进工业与资源、环境协调发展。</w:t>
      </w:r>
    </w:p>
    <w:p>
      <w:pPr>
        <w:pStyle w:val="35"/>
      </w:pPr>
      <w:r>
        <w:rPr>
          <w:b/>
        </w:rPr>
        <w:t>——坚持绿色发展。</w:t>
      </w:r>
      <w:r>
        <w:t>以“低碳化、循环化、节约化和集约化”为导向，加快绿色改造升级，加强节能环保产品研发应用，不断提高绿色精益制造能力，追求绿色可持续的发展方式，确保区域可持续发展能力的提高。</w:t>
      </w:r>
    </w:p>
    <w:p>
      <w:pPr>
        <w:pStyle w:val="3"/>
        <w:rPr>
          <w:shd w:val="clear" w:color="auto" w:fill="auto"/>
        </w:rPr>
      </w:pPr>
      <w:bookmarkStart w:id="44" w:name="_Toc475457205"/>
      <w:bookmarkStart w:id="45" w:name="_Toc475457344"/>
      <w:bookmarkStart w:id="46" w:name="_Toc475456959"/>
      <w:r>
        <w:rPr>
          <w:shd w:val="clear" w:color="auto" w:fill="auto"/>
        </w:rPr>
        <w:t>（</w:t>
      </w:r>
      <w:r>
        <w:rPr>
          <w:rFonts w:hint="eastAsia"/>
          <w:shd w:val="clear" w:color="auto" w:fill="auto"/>
        </w:rPr>
        <w:t>四</w:t>
      </w:r>
      <w:r>
        <w:rPr>
          <w:shd w:val="clear" w:color="auto" w:fill="auto"/>
        </w:rPr>
        <w:t>）主要目标</w:t>
      </w:r>
      <w:bookmarkEnd w:id="44"/>
      <w:bookmarkEnd w:id="45"/>
      <w:bookmarkEnd w:id="46"/>
    </w:p>
    <w:p>
      <w:pPr>
        <w:pStyle w:val="4"/>
        <w:rPr>
          <w:shd w:val="clear" w:color="auto" w:fill="auto"/>
        </w:rPr>
      </w:pPr>
      <w:bookmarkStart w:id="47" w:name="_Toc475456960"/>
      <w:bookmarkStart w:id="48" w:name="_Toc467576755"/>
      <w:r>
        <w:rPr>
          <w:shd w:val="clear" w:color="auto" w:fill="auto"/>
        </w:rPr>
        <w:t>1、总体目标</w:t>
      </w:r>
      <w:bookmarkEnd w:id="47"/>
      <w:bookmarkEnd w:id="48"/>
    </w:p>
    <w:p>
      <w:pPr>
        <w:pStyle w:val="35"/>
        <w:ind w:firstLine="640"/>
      </w:pPr>
      <w:r>
        <w:rPr>
          <w:rFonts w:hint="eastAsia"/>
        </w:rPr>
        <w:t>经过五年努力，磁性电子产业在产业规模、研发创新、结构调整、智能制造、绿色发展等方面取得实质提升，到</w:t>
      </w:r>
      <w:r>
        <w:t>2020</w:t>
      </w:r>
      <w:r>
        <w:rPr>
          <w:rFonts w:hint="eastAsia"/>
        </w:rPr>
        <w:t>年，全市规模以上磁性电子产业产值确保达到</w:t>
      </w:r>
      <w:r>
        <w:t>260</w:t>
      </w:r>
      <w:r>
        <w:rPr>
          <w:rFonts w:hint="eastAsia"/>
        </w:rPr>
        <w:t>亿元，力争</w:t>
      </w:r>
      <w:r>
        <w:t>280</w:t>
      </w:r>
      <w:r>
        <w:rPr>
          <w:rFonts w:hint="eastAsia"/>
        </w:rPr>
        <w:t>亿元，进一步提升“中国磁都”的国际影响力，努力打造成为具有国际影响力的磁性材料产业基地和以磁性材料为基础的全国知名的电子元器件产业基地。</w:t>
      </w:r>
    </w:p>
    <w:p>
      <w:pPr>
        <w:pStyle w:val="4"/>
        <w:rPr>
          <w:shd w:val="clear" w:color="auto" w:fill="auto"/>
        </w:rPr>
      </w:pPr>
      <w:bookmarkStart w:id="49" w:name="_Toc467576756"/>
      <w:bookmarkStart w:id="50" w:name="_Toc475456961"/>
      <w:r>
        <w:rPr>
          <w:shd w:val="clear" w:color="auto" w:fill="auto"/>
        </w:rPr>
        <w:t>2、具体目标</w:t>
      </w:r>
      <w:bookmarkEnd w:id="49"/>
      <w:bookmarkEnd w:id="50"/>
    </w:p>
    <w:p>
      <w:pPr>
        <w:pStyle w:val="35"/>
      </w:pPr>
      <w:r>
        <w:rPr>
          <w:b/>
        </w:rPr>
        <w:t>——产业规模迈上新台阶。</w:t>
      </w:r>
      <w:r>
        <w:t>到2020年末，规模以上磁性电子企业实现工业总产值</w:t>
      </w:r>
      <w:r>
        <w:rPr>
          <w:rFonts w:hint="eastAsia"/>
        </w:rPr>
        <w:t>达到26</w:t>
      </w:r>
      <w:r>
        <w:t>0亿元以上，年均增长16%</w:t>
      </w:r>
      <w:r>
        <w:rPr>
          <w:rFonts w:hint="eastAsia"/>
        </w:rPr>
        <w:t>以上；其中磁性材料</w:t>
      </w:r>
      <w:r>
        <w:t>2</w:t>
      </w:r>
      <w:r>
        <w:rPr>
          <w:rFonts w:hint="eastAsia"/>
        </w:rPr>
        <w:t>3</w:t>
      </w:r>
      <w:r>
        <w:t>0</w:t>
      </w:r>
      <w:r>
        <w:rPr>
          <w:rFonts w:hint="eastAsia"/>
        </w:rPr>
        <w:t>亿元，电子元器件3</w:t>
      </w:r>
      <w:r>
        <w:t>0</w:t>
      </w:r>
      <w:r>
        <w:rPr>
          <w:rFonts w:hint="eastAsia"/>
        </w:rPr>
        <w:t>亿元。</w:t>
      </w:r>
    </w:p>
    <w:p>
      <w:pPr>
        <w:pStyle w:val="35"/>
      </w:pPr>
      <w:r>
        <w:rPr>
          <w:b/>
        </w:rPr>
        <w:t>——研发创新实现新突破。</w:t>
      </w:r>
      <w:r>
        <w:t>到2020年末，规模以上磁性电子企业R&amp;D经费投入占主营业务收入的比重达到</w:t>
      </w:r>
      <w:r>
        <w:rPr>
          <w:rFonts w:hint="eastAsia"/>
        </w:rPr>
        <w:t>2</w:t>
      </w:r>
      <w:r>
        <w:t>.</w:t>
      </w:r>
      <w:r>
        <w:rPr>
          <w:rFonts w:hint="eastAsia"/>
        </w:rPr>
        <w:t>6</w:t>
      </w:r>
      <w:r>
        <w:t>%；新增省级以上研发机构（国家级技术中心或研发中心、省级重点企业研究院）2个</w:t>
      </w:r>
      <w:r>
        <w:rPr>
          <w:rFonts w:hint="eastAsia"/>
        </w:rPr>
        <w:t>以上，</w:t>
      </w:r>
      <w:r>
        <w:t>形成以企业为主体，产学研相结合的科技创新体系。</w:t>
      </w:r>
    </w:p>
    <w:p>
      <w:pPr>
        <w:pStyle w:val="35"/>
      </w:pPr>
      <w:r>
        <w:rPr>
          <w:b/>
        </w:rPr>
        <w:t>——结构调整取得新进展。</w:t>
      </w:r>
      <w:r>
        <w:t>到2020年末，培育年</w:t>
      </w:r>
      <w:r>
        <w:rPr>
          <w:rFonts w:hint="eastAsia"/>
        </w:rPr>
        <w:t>主营业务</w:t>
      </w:r>
      <w:r>
        <w:t>收入</w:t>
      </w:r>
      <w:r>
        <w:rPr>
          <w:rFonts w:hint="eastAsia"/>
        </w:rPr>
        <w:t>超</w:t>
      </w:r>
      <w:r>
        <w:t>100</w:t>
      </w:r>
      <w:r>
        <w:rPr>
          <w:rFonts w:hint="eastAsia"/>
        </w:rPr>
        <w:t>亿元的企业</w:t>
      </w:r>
      <w:r>
        <w:t>1</w:t>
      </w:r>
      <w:r>
        <w:rPr>
          <w:rFonts w:hint="eastAsia"/>
        </w:rPr>
        <w:t>家（横店东磁），超2</w:t>
      </w:r>
      <w:r>
        <w:t>0</w:t>
      </w:r>
      <w:r>
        <w:rPr>
          <w:rFonts w:hint="eastAsia"/>
        </w:rPr>
        <w:t>亿元的企业</w:t>
      </w:r>
      <w:r>
        <w:t>2</w:t>
      </w:r>
      <w:r>
        <w:rPr>
          <w:rFonts w:hint="eastAsia"/>
        </w:rPr>
        <w:t>家（英洛华磁业）</w:t>
      </w:r>
      <w:r>
        <w:t>。</w:t>
      </w:r>
      <w:r>
        <w:rPr>
          <w:rFonts w:hint="eastAsia"/>
        </w:rPr>
        <w:t>新增上市企业</w:t>
      </w:r>
      <w:r>
        <w:t>1</w:t>
      </w:r>
      <w:r>
        <w:rPr>
          <w:rFonts w:hint="eastAsia"/>
        </w:rPr>
        <w:t>家以上（中元磁业）；每年新增高新技术企业</w:t>
      </w:r>
      <w:r>
        <w:t>2</w:t>
      </w:r>
      <w:r>
        <w:rPr>
          <w:rFonts w:hint="eastAsia"/>
        </w:rPr>
        <w:t>家以上。产品档次不断提升</w:t>
      </w:r>
      <w:r>
        <w:t>，</w:t>
      </w:r>
      <w:r>
        <w:rPr>
          <w:rFonts w:hint="eastAsia"/>
        </w:rPr>
        <w:t>力争到2020年</w:t>
      </w:r>
      <w:r>
        <w:t>国内高档磁性材料</w:t>
      </w:r>
      <w:r>
        <w:rPr>
          <w:rFonts w:hint="eastAsia"/>
        </w:rPr>
        <w:t>产品</w:t>
      </w:r>
      <w:r>
        <w:t>产量比例提高至</w:t>
      </w:r>
      <w:r>
        <w:rPr>
          <w:rFonts w:hint="eastAsia"/>
        </w:rPr>
        <w:t>80</w:t>
      </w:r>
      <w:r>
        <w:t>%</w:t>
      </w:r>
      <w:r>
        <w:rPr>
          <w:rFonts w:hint="eastAsia"/>
        </w:rPr>
        <w:t>。</w:t>
      </w:r>
    </w:p>
    <w:p>
      <w:pPr>
        <w:pStyle w:val="35"/>
      </w:pPr>
      <w:r>
        <w:rPr>
          <w:b/>
        </w:rPr>
        <w:t>——智造水平形成新优势。</w:t>
      </w:r>
      <w:r>
        <w:t>以</w:t>
      </w:r>
      <w:r>
        <w:rPr>
          <w:rFonts w:hint="eastAsia"/>
        </w:rPr>
        <w:t>横店</w:t>
      </w:r>
      <w:r>
        <w:t>东磁为代表的</w:t>
      </w:r>
      <w:r>
        <w:rPr>
          <w:rFonts w:hint="eastAsia"/>
        </w:rPr>
        <w:t>龙头</w:t>
      </w:r>
      <w:r>
        <w:t>企业实现永磁铁氧体生产全流程的“两化”融合，基本达到无人化生产；规模以上企业在劳动密集型的压制、检分、投料、球磨等主要工序，实现“机器换人”，“两化”融合发展指数达8</w:t>
      </w:r>
      <w:r>
        <w:rPr>
          <w:rFonts w:hint="eastAsia"/>
        </w:rPr>
        <w:t>5</w:t>
      </w:r>
      <w:r>
        <w:t>以上。企业信息化水平大幅提升，装备数控化率明显提高，智能制造模式逐渐推行。</w:t>
      </w:r>
    </w:p>
    <w:p>
      <w:pPr>
        <w:pStyle w:val="35"/>
      </w:pPr>
      <w:r>
        <w:rPr>
          <w:b/>
        </w:rPr>
        <w:t>——绿色发展达到新高度。</w:t>
      </w:r>
      <w:r>
        <w:t>到2020年末，规模以上磁性电子企业万元工业增加值能耗、单位产值能耗下降率、化学需氧量、二氧化硫、氨氮、氮氧化物排放量完成下达目标，绿色制造模式逐渐推行。</w:t>
      </w:r>
    </w:p>
    <w:p>
      <w:pPr>
        <w:pStyle w:val="41"/>
      </w:pPr>
      <w:r>
        <w:t>表</w:t>
      </w:r>
      <w:r>
        <w:fldChar w:fldCharType="begin"/>
      </w:r>
      <w:r>
        <w:instrText xml:space="preserve"> SEQ 表格 \* ARABIC </w:instrText>
      </w:r>
      <w:r>
        <w:fldChar w:fldCharType="separate"/>
      </w:r>
      <w:r>
        <w:t>4</w:t>
      </w:r>
      <w:r>
        <w:fldChar w:fldCharType="end"/>
      </w:r>
      <w:r>
        <w:t xml:space="preserve"> 东阳磁性电子产业“十三五”发展目标</w:t>
      </w:r>
    </w:p>
    <w:tbl>
      <w:tblPr>
        <w:tblStyle w:val="15"/>
        <w:tblW w:w="828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2505"/>
        <w:gridCol w:w="701"/>
        <w:gridCol w:w="756"/>
        <w:gridCol w:w="826"/>
        <w:gridCol w:w="863"/>
        <w:gridCol w:w="701"/>
        <w:gridCol w:w="122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shd w:val="clear" w:color="auto" w:fill="D8D8D8" w:themeFill="background1" w:themeFillShade="D9"/>
            <w:vAlign w:val="center"/>
          </w:tcPr>
          <w:p>
            <w:pPr>
              <w:pStyle w:val="43"/>
              <w:jc w:val="center"/>
            </w:pPr>
            <w:r>
              <w:t>指标类别</w:t>
            </w:r>
          </w:p>
        </w:tc>
        <w:tc>
          <w:tcPr>
            <w:tcW w:w="2553" w:type="dxa"/>
            <w:shd w:val="clear" w:color="auto" w:fill="D8D8D8" w:themeFill="background1" w:themeFillShade="D9"/>
            <w:vAlign w:val="center"/>
          </w:tcPr>
          <w:p>
            <w:pPr>
              <w:pStyle w:val="43"/>
              <w:jc w:val="center"/>
            </w:pPr>
            <w:r>
              <w:t>主要指标</w:t>
            </w:r>
          </w:p>
        </w:tc>
        <w:tc>
          <w:tcPr>
            <w:tcW w:w="708" w:type="dxa"/>
            <w:shd w:val="clear" w:color="auto" w:fill="D8D8D8" w:themeFill="background1" w:themeFillShade="D9"/>
            <w:vAlign w:val="center"/>
          </w:tcPr>
          <w:p>
            <w:pPr>
              <w:pStyle w:val="43"/>
              <w:jc w:val="center"/>
            </w:pPr>
            <w:r>
              <w:t>单位</w:t>
            </w:r>
          </w:p>
        </w:tc>
        <w:tc>
          <w:tcPr>
            <w:tcW w:w="709" w:type="dxa"/>
            <w:shd w:val="clear" w:color="auto" w:fill="D8D8D8" w:themeFill="background1" w:themeFillShade="D9"/>
            <w:vAlign w:val="center"/>
          </w:tcPr>
          <w:p>
            <w:pPr>
              <w:pStyle w:val="43"/>
              <w:jc w:val="center"/>
            </w:pPr>
            <w:r>
              <w:t>2015</w:t>
            </w:r>
          </w:p>
        </w:tc>
        <w:tc>
          <w:tcPr>
            <w:tcW w:w="830" w:type="dxa"/>
            <w:shd w:val="clear" w:color="auto" w:fill="D8D8D8" w:themeFill="background1" w:themeFillShade="D9"/>
            <w:vAlign w:val="center"/>
          </w:tcPr>
          <w:p>
            <w:pPr>
              <w:pStyle w:val="43"/>
              <w:jc w:val="center"/>
            </w:pPr>
            <w:r>
              <w:t>2016</w:t>
            </w:r>
          </w:p>
        </w:tc>
        <w:tc>
          <w:tcPr>
            <w:tcW w:w="867" w:type="dxa"/>
            <w:shd w:val="clear" w:color="auto" w:fill="D8D8D8" w:themeFill="background1" w:themeFillShade="D9"/>
            <w:vAlign w:val="center"/>
          </w:tcPr>
          <w:p>
            <w:pPr>
              <w:pStyle w:val="43"/>
              <w:jc w:val="center"/>
            </w:pPr>
            <w:r>
              <w:t>2018</w:t>
            </w:r>
          </w:p>
        </w:tc>
        <w:tc>
          <w:tcPr>
            <w:tcW w:w="701" w:type="dxa"/>
            <w:shd w:val="clear" w:color="auto" w:fill="D8D8D8" w:themeFill="background1" w:themeFillShade="D9"/>
            <w:vAlign w:val="center"/>
          </w:tcPr>
          <w:p>
            <w:pPr>
              <w:pStyle w:val="43"/>
              <w:jc w:val="center"/>
            </w:pPr>
            <w:r>
              <w:t>2020</w:t>
            </w:r>
          </w:p>
        </w:tc>
        <w:tc>
          <w:tcPr>
            <w:tcW w:w="1206" w:type="dxa"/>
            <w:shd w:val="clear" w:color="auto" w:fill="D8D8D8" w:themeFill="background1" w:themeFillShade="D9"/>
            <w:vAlign w:val="center"/>
          </w:tcPr>
          <w:p>
            <w:pPr>
              <w:pStyle w:val="43"/>
              <w:jc w:val="center"/>
            </w:pPr>
            <w:r>
              <w:t>“十三五”增速</w:t>
            </w:r>
          </w:p>
          <w:p>
            <w:pPr>
              <w:pStyle w:val="43"/>
              <w:jc w:val="center"/>
            </w:pPr>
            <w:r>
              <w:t>〔累计〕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shd w:val="clear" w:color="auto" w:fill="auto"/>
            <w:vAlign w:val="center"/>
          </w:tcPr>
          <w:p>
            <w:pPr>
              <w:pStyle w:val="43"/>
            </w:pPr>
            <w:r>
              <w:t>产业规模</w:t>
            </w:r>
          </w:p>
        </w:tc>
        <w:tc>
          <w:tcPr>
            <w:tcW w:w="2553" w:type="dxa"/>
            <w:shd w:val="clear" w:color="auto" w:fill="auto"/>
            <w:vAlign w:val="center"/>
          </w:tcPr>
          <w:p>
            <w:pPr>
              <w:pStyle w:val="43"/>
            </w:pPr>
            <w:r>
              <w:t>规上工业总产值</w:t>
            </w:r>
          </w:p>
        </w:tc>
        <w:tc>
          <w:tcPr>
            <w:tcW w:w="708" w:type="dxa"/>
            <w:shd w:val="clear" w:color="auto" w:fill="auto"/>
            <w:vAlign w:val="center"/>
          </w:tcPr>
          <w:p>
            <w:pPr>
              <w:pStyle w:val="43"/>
              <w:jc w:val="center"/>
            </w:pPr>
            <w:r>
              <w:t>亿元</w:t>
            </w:r>
          </w:p>
        </w:tc>
        <w:tc>
          <w:tcPr>
            <w:tcW w:w="709" w:type="dxa"/>
            <w:shd w:val="clear" w:color="auto" w:fill="auto"/>
            <w:vAlign w:val="center"/>
          </w:tcPr>
          <w:p>
            <w:pPr>
              <w:pStyle w:val="43"/>
              <w:jc w:val="center"/>
            </w:pPr>
            <w:r>
              <w:t>124</w:t>
            </w:r>
          </w:p>
        </w:tc>
        <w:tc>
          <w:tcPr>
            <w:tcW w:w="830" w:type="dxa"/>
            <w:shd w:val="clear" w:color="auto" w:fill="auto"/>
            <w:vAlign w:val="center"/>
          </w:tcPr>
          <w:p>
            <w:pPr>
              <w:pStyle w:val="43"/>
              <w:jc w:val="center"/>
            </w:pPr>
            <w:r>
              <w:t>140</w:t>
            </w:r>
          </w:p>
        </w:tc>
        <w:tc>
          <w:tcPr>
            <w:tcW w:w="867" w:type="dxa"/>
            <w:shd w:val="clear" w:color="auto" w:fill="auto"/>
            <w:vAlign w:val="center"/>
          </w:tcPr>
          <w:p>
            <w:pPr>
              <w:pStyle w:val="43"/>
              <w:jc w:val="center"/>
            </w:pPr>
            <w:r>
              <w:t>190</w:t>
            </w:r>
          </w:p>
        </w:tc>
        <w:tc>
          <w:tcPr>
            <w:tcW w:w="701" w:type="dxa"/>
            <w:shd w:val="clear" w:color="auto" w:fill="auto"/>
            <w:vAlign w:val="center"/>
          </w:tcPr>
          <w:p>
            <w:pPr>
              <w:pStyle w:val="43"/>
              <w:jc w:val="center"/>
            </w:pPr>
            <w:r>
              <w:t>260</w:t>
            </w:r>
          </w:p>
        </w:tc>
        <w:tc>
          <w:tcPr>
            <w:tcW w:w="1206" w:type="dxa"/>
            <w:shd w:val="clear" w:color="auto" w:fill="auto"/>
            <w:vAlign w:val="center"/>
          </w:tcPr>
          <w:p>
            <w:pPr>
              <w:pStyle w:val="43"/>
              <w:jc w:val="center"/>
            </w:pPr>
            <w:r>
              <w:t>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restart"/>
            <w:shd w:val="clear" w:color="auto" w:fill="auto"/>
            <w:vAlign w:val="center"/>
          </w:tcPr>
          <w:p>
            <w:pPr>
              <w:pStyle w:val="43"/>
            </w:pPr>
            <w:r>
              <w:t>研发创新</w:t>
            </w:r>
          </w:p>
        </w:tc>
        <w:tc>
          <w:tcPr>
            <w:tcW w:w="2553" w:type="dxa"/>
            <w:shd w:val="clear" w:color="auto" w:fill="auto"/>
            <w:vAlign w:val="center"/>
          </w:tcPr>
          <w:p>
            <w:pPr>
              <w:pStyle w:val="43"/>
            </w:pPr>
            <w:r>
              <w:t>规上工业R&amp;D经费投入占主营业务收入比重</w:t>
            </w:r>
          </w:p>
        </w:tc>
        <w:tc>
          <w:tcPr>
            <w:tcW w:w="708" w:type="dxa"/>
            <w:shd w:val="clear" w:color="auto" w:fill="auto"/>
            <w:vAlign w:val="center"/>
          </w:tcPr>
          <w:p>
            <w:pPr>
              <w:pStyle w:val="43"/>
              <w:jc w:val="center"/>
            </w:pPr>
            <w:r>
              <w:t>%</w:t>
            </w:r>
          </w:p>
        </w:tc>
        <w:tc>
          <w:tcPr>
            <w:tcW w:w="709" w:type="dxa"/>
            <w:shd w:val="clear" w:color="auto" w:fill="auto"/>
            <w:vAlign w:val="center"/>
          </w:tcPr>
          <w:p>
            <w:pPr>
              <w:pStyle w:val="43"/>
              <w:jc w:val="center"/>
            </w:pPr>
            <w:r>
              <w:t>1.95</w:t>
            </w:r>
          </w:p>
        </w:tc>
        <w:tc>
          <w:tcPr>
            <w:tcW w:w="830" w:type="dxa"/>
            <w:shd w:val="clear" w:color="auto" w:fill="auto"/>
            <w:vAlign w:val="center"/>
          </w:tcPr>
          <w:p>
            <w:pPr>
              <w:pStyle w:val="43"/>
              <w:jc w:val="center"/>
            </w:pPr>
            <w:r>
              <w:t>2.</w:t>
            </w:r>
            <w:r>
              <w:rPr>
                <w:rFonts w:hint="eastAsia"/>
              </w:rPr>
              <w:t>1</w:t>
            </w:r>
          </w:p>
        </w:tc>
        <w:tc>
          <w:tcPr>
            <w:tcW w:w="867" w:type="dxa"/>
            <w:shd w:val="clear" w:color="auto" w:fill="auto"/>
            <w:vAlign w:val="center"/>
          </w:tcPr>
          <w:p>
            <w:pPr>
              <w:pStyle w:val="43"/>
              <w:jc w:val="center"/>
            </w:pPr>
            <w:r>
              <w:t>2.</w:t>
            </w:r>
            <w:r>
              <w:rPr>
                <w:rFonts w:hint="eastAsia"/>
              </w:rPr>
              <w:t>3</w:t>
            </w:r>
          </w:p>
        </w:tc>
        <w:tc>
          <w:tcPr>
            <w:tcW w:w="701" w:type="dxa"/>
            <w:shd w:val="clear" w:color="auto" w:fill="auto"/>
            <w:vAlign w:val="center"/>
          </w:tcPr>
          <w:p>
            <w:pPr>
              <w:pStyle w:val="43"/>
              <w:jc w:val="center"/>
            </w:pPr>
            <w:r>
              <w:t>2.</w:t>
            </w:r>
            <w:r>
              <w:rPr>
                <w:rFonts w:hint="eastAsia"/>
              </w:rPr>
              <w:t>6</w:t>
            </w:r>
          </w:p>
        </w:tc>
        <w:tc>
          <w:tcPr>
            <w:tcW w:w="1206" w:type="dxa"/>
            <w:shd w:val="clear" w:color="auto" w:fill="auto"/>
            <w:vAlign w:val="center"/>
          </w:tcPr>
          <w:p>
            <w:pPr>
              <w:pStyle w:val="43"/>
              <w:jc w:val="center"/>
            </w:pPr>
            <w:r>
              <w:t>〔0.</w:t>
            </w:r>
            <w:r>
              <w:rPr>
                <w:rFonts w:hint="eastAsia"/>
              </w:rPr>
              <w:t>6</w:t>
            </w:r>
            <w: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continue"/>
            <w:vAlign w:val="center"/>
          </w:tcPr>
          <w:p>
            <w:pPr>
              <w:pStyle w:val="43"/>
            </w:pPr>
          </w:p>
        </w:tc>
        <w:tc>
          <w:tcPr>
            <w:tcW w:w="2553" w:type="dxa"/>
            <w:shd w:val="clear" w:color="auto" w:fill="auto"/>
            <w:vAlign w:val="center"/>
          </w:tcPr>
          <w:p>
            <w:pPr>
              <w:pStyle w:val="43"/>
            </w:pPr>
            <w:r>
              <w:t>省级以上研发机构数</w:t>
            </w:r>
          </w:p>
        </w:tc>
        <w:tc>
          <w:tcPr>
            <w:tcW w:w="708" w:type="dxa"/>
            <w:shd w:val="clear" w:color="auto" w:fill="auto"/>
            <w:vAlign w:val="center"/>
          </w:tcPr>
          <w:p>
            <w:pPr>
              <w:pStyle w:val="43"/>
              <w:jc w:val="center"/>
            </w:pPr>
            <w:r>
              <w:t>个</w:t>
            </w:r>
          </w:p>
        </w:tc>
        <w:tc>
          <w:tcPr>
            <w:tcW w:w="709" w:type="dxa"/>
            <w:shd w:val="clear" w:color="auto" w:fill="auto"/>
            <w:vAlign w:val="center"/>
          </w:tcPr>
          <w:p>
            <w:pPr>
              <w:pStyle w:val="43"/>
              <w:jc w:val="center"/>
            </w:pPr>
            <w:r>
              <w:t>8</w:t>
            </w:r>
          </w:p>
        </w:tc>
        <w:tc>
          <w:tcPr>
            <w:tcW w:w="830" w:type="dxa"/>
            <w:shd w:val="clear" w:color="auto" w:fill="auto"/>
            <w:vAlign w:val="center"/>
          </w:tcPr>
          <w:p>
            <w:pPr>
              <w:pStyle w:val="43"/>
              <w:jc w:val="center"/>
            </w:pPr>
            <w:r>
              <w:t>8</w:t>
            </w:r>
          </w:p>
        </w:tc>
        <w:tc>
          <w:tcPr>
            <w:tcW w:w="867" w:type="dxa"/>
            <w:shd w:val="clear" w:color="auto" w:fill="auto"/>
            <w:vAlign w:val="center"/>
          </w:tcPr>
          <w:p>
            <w:pPr>
              <w:pStyle w:val="43"/>
              <w:jc w:val="center"/>
            </w:pPr>
            <w:r>
              <w:t>9</w:t>
            </w:r>
          </w:p>
        </w:tc>
        <w:tc>
          <w:tcPr>
            <w:tcW w:w="701" w:type="dxa"/>
            <w:shd w:val="clear" w:color="auto" w:fill="auto"/>
            <w:vAlign w:val="center"/>
          </w:tcPr>
          <w:p>
            <w:pPr>
              <w:pStyle w:val="43"/>
              <w:jc w:val="center"/>
            </w:pPr>
            <w:r>
              <w:t>10</w:t>
            </w:r>
          </w:p>
        </w:tc>
        <w:tc>
          <w:tcPr>
            <w:tcW w:w="1206" w:type="dxa"/>
            <w:shd w:val="clear" w:color="auto" w:fill="auto"/>
            <w:vAlign w:val="center"/>
          </w:tcPr>
          <w:p>
            <w:pPr>
              <w:pStyle w:val="43"/>
              <w:jc w:val="center"/>
            </w:pPr>
            <w: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restart"/>
            <w:shd w:val="clear" w:color="auto" w:fill="auto"/>
            <w:vAlign w:val="center"/>
          </w:tcPr>
          <w:p>
            <w:pPr>
              <w:pStyle w:val="43"/>
            </w:pPr>
            <w:r>
              <w:t>结构调整</w:t>
            </w:r>
          </w:p>
        </w:tc>
        <w:tc>
          <w:tcPr>
            <w:tcW w:w="2553" w:type="dxa"/>
            <w:shd w:val="clear" w:color="auto" w:fill="auto"/>
            <w:vAlign w:val="center"/>
          </w:tcPr>
          <w:p>
            <w:pPr>
              <w:pStyle w:val="43"/>
            </w:pPr>
            <w:r>
              <w:t>年主营业务收入超100亿元企业数</w:t>
            </w:r>
          </w:p>
        </w:tc>
        <w:tc>
          <w:tcPr>
            <w:tcW w:w="708" w:type="dxa"/>
            <w:shd w:val="clear" w:color="auto" w:fill="auto"/>
            <w:vAlign w:val="center"/>
          </w:tcPr>
          <w:p>
            <w:pPr>
              <w:pStyle w:val="43"/>
              <w:jc w:val="center"/>
            </w:pPr>
            <w:r>
              <w:t>家</w:t>
            </w:r>
          </w:p>
        </w:tc>
        <w:tc>
          <w:tcPr>
            <w:tcW w:w="709" w:type="dxa"/>
            <w:shd w:val="clear" w:color="auto" w:fill="auto"/>
            <w:vAlign w:val="center"/>
          </w:tcPr>
          <w:p>
            <w:pPr>
              <w:pStyle w:val="43"/>
              <w:jc w:val="center"/>
            </w:pPr>
            <w:r>
              <w:t>0</w:t>
            </w:r>
          </w:p>
        </w:tc>
        <w:tc>
          <w:tcPr>
            <w:tcW w:w="830" w:type="dxa"/>
            <w:shd w:val="clear" w:color="auto" w:fill="auto"/>
            <w:vAlign w:val="center"/>
          </w:tcPr>
          <w:p>
            <w:pPr>
              <w:pStyle w:val="43"/>
              <w:jc w:val="center"/>
            </w:pPr>
            <w:r>
              <w:t>0</w:t>
            </w:r>
          </w:p>
        </w:tc>
        <w:tc>
          <w:tcPr>
            <w:tcW w:w="867" w:type="dxa"/>
            <w:shd w:val="clear" w:color="auto" w:fill="auto"/>
            <w:vAlign w:val="center"/>
          </w:tcPr>
          <w:p>
            <w:pPr>
              <w:pStyle w:val="43"/>
              <w:jc w:val="center"/>
            </w:pPr>
            <w:r>
              <w:t>1</w:t>
            </w:r>
          </w:p>
        </w:tc>
        <w:tc>
          <w:tcPr>
            <w:tcW w:w="701" w:type="dxa"/>
            <w:shd w:val="clear" w:color="auto" w:fill="auto"/>
            <w:vAlign w:val="center"/>
          </w:tcPr>
          <w:p>
            <w:pPr>
              <w:pStyle w:val="43"/>
              <w:jc w:val="center"/>
            </w:pPr>
            <w:r>
              <w:t>1</w:t>
            </w:r>
          </w:p>
        </w:tc>
        <w:tc>
          <w:tcPr>
            <w:tcW w:w="1206" w:type="dxa"/>
            <w:shd w:val="clear" w:color="auto" w:fill="auto"/>
            <w:vAlign w:val="center"/>
          </w:tcPr>
          <w:p>
            <w:pPr>
              <w:pStyle w:val="43"/>
              <w:jc w:val="center"/>
            </w:pPr>
            <w: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continue"/>
            <w:vAlign w:val="center"/>
          </w:tcPr>
          <w:p>
            <w:pPr>
              <w:pStyle w:val="43"/>
            </w:pPr>
          </w:p>
        </w:tc>
        <w:tc>
          <w:tcPr>
            <w:tcW w:w="2553" w:type="dxa"/>
            <w:shd w:val="clear" w:color="auto" w:fill="auto"/>
            <w:vAlign w:val="center"/>
          </w:tcPr>
          <w:p>
            <w:pPr>
              <w:pStyle w:val="43"/>
            </w:pPr>
            <w:r>
              <w:t>年主营业务收入超20亿元企业数</w:t>
            </w:r>
          </w:p>
        </w:tc>
        <w:tc>
          <w:tcPr>
            <w:tcW w:w="708" w:type="dxa"/>
            <w:shd w:val="clear" w:color="auto" w:fill="auto"/>
            <w:vAlign w:val="center"/>
          </w:tcPr>
          <w:p>
            <w:pPr>
              <w:pStyle w:val="43"/>
              <w:jc w:val="center"/>
            </w:pPr>
            <w:r>
              <w:t>家</w:t>
            </w:r>
          </w:p>
        </w:tc>
        <w:tc>
          <w:tcPr>
            <w:tcW w:w="709" w:type="dxa"/>
            <w:shd w:val="clear" w:color="auto" w:fill="auto"/>
            <w:vAlign w:val="center"/>
          </w:tcPr>
          <w:p>
            <w:pPr>
              <w:pStyle w:val="43"/>
              <w:jc w:val="center"/>
            </w:pPr>
            <w:r>
              <w:t>1</w:t>
            </w:r>
          </w:p>
        </w:tc>
        <w:tc>
          <w:tcPr>
            <w:tcW w:w="830" w:type="dxa"/>
            <w:shd w:val="clear" w:color="auto" w:fill="auto"/>
            <w:vAlign w:val="center"/>
          </w:tcPr>
          <w:p>
            <w:pPr>
              <w:pStyle w:val="43"/>
              <w:jc w:val="center"/>
            </w:pPr>
            <w:r>
              <w:t>1</w:t>
            </w:r>
          </w:p>
        </w:tc>
        <w:tc>
          <w:tcPr>
            <w:tcW w:w="867" w:type="dxa"/>
            <w:shd w:val="clear" w:color="auto" w:fill="auto"/>
            <w:vAlign w:val="center"/>
          </w:tcPr>
          <w:p>
            <w:pPr>
              <w:pStyle w:val="43"/>
              <w:jc w:val="center"/>
            </w:pPr>
            <w:r>
              <w:t>1</w:t>
            </w:r>
          </w:p>
        </w:tc>
        <w:tc>
          <w:tcPr>
            <w:tcW w:w="701" w:type="dxa"/>
            <w:shd w:val="clear" w:color="auto" w:fill="auto"/>
            <w:vAlign w:val="center"/>
          </w:tcPr>
          <w:p>
            <w:pPr>
              <w:pStyle w:val="43"/>
              <w:jc w:val="center"/>
            </w:pPr>
            <w:r>
              <w:t>2</w:t>
            </w:r>
          </w:p>
        </w:tc>
        <w:tc>
          <w:tcPr>
            <w:tcW w:w="1206" w:type="dxa"/>
            <w:shd w:val="clear" w:color="auto" w:fill="auto"/>
            <w:vAlign w:val="center"/>
          </w:tcPr>
          <w:p>
            <w:pPr>
              <w:pStyle w:val="43"/>
              <w:jc w:val="center"/>
            </w:pPr>
            <w: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continue"/>
            <w:vAlign w:val="center"/>
          </w:tcPr>
          <w:p>
            <w:pPr>
              <w:pStyle w:val="43"/>
            </w:pPr>
          </w:p>
        </w:tc>
        <w:tc>
          <w:tcPr>
            <w:tcW w:w="2553" w:type="dxa"/>
            <w:shd w:val="clear" w:color="auto" w:fill="auto"/>
            <w:vAlign w:val="center"/>
          </w:tcPr>
          <w:p>
            <w:pPr>
              <w:pStyle w:val="43"/>
            </w:pPr>
            <w:r>
              <w:t>上市企业数</w:t>
            </w:r>
          </w:p>
        </w:tc>
        <w:tc>
          <w:tcPr>
            <w:tcW w:w="708" w:type="dxa"/>
            <w:shd w:val="clear" w:color="auto" w:fill="auto"/>
            <w:vAlign w:val="center"/>
          </w:tcPr>
          <w:p>
            <w:pPr>
              <w:pStyle w:val="43"/>
              <w:jc w:val="center"/>
            </w:pPr>
            <w:r>
              <w:t>家</w:t>
            </w:r>
          </w:p>
        </w:tc>
        <w:tc>
          <w:tcPr>
            <w:tcW w:w="709" w:type="dxa"/>
            <w:shd w:val="clear" w:color="auto" w:fill="auto"/>
            <w:vAlign w:val="center"/>
          </w:tcPr>
          <w:p>
            <w:pPr>
              <w:pStyle w:val="43"/>
              <w:jc w:val="center"/>
            </w:pPr>
            <w:r>
              <w:t>2</w:t>
            </w:r>
          </w:p>
        </w:tc>
        <w:tc>
          <w:tcPr>
            <w:tcW w:w="830" w:type="dxa"/>
            <w:shd w:val="clear" w:color="auto" w:fill="auto"/>
            <w:vAlign w:val="center"/>
          </w:tcPr>
          <w:p>
            <w:pPr>
              <w:pStyle w:val="43"/>
              <w:jc w:val="center"/>
            </w:pPr>
            <w:r>
              <w:t>2</w:t>
            </w:r>
          </w:p>
        </w:tc>
        <w:tc>
          <w:tcPr>
            <w:tcW w:w="867" w:type="dxa"/>
            <w:shd w:val="clear" w:color="auto" w:fill="auto"/>
            <w:vAlign w:val="center"/>
          </w:tcPr>
          <w:p>
            <w:pPr>
              <w:pStyle w:val="43"/>
              <w:jc w:val="center"/>
            </w:pPr>
            <w:r>
              <w:t>3</w:t>
            </w:r>
          </w:p>
        </w:tc>
        <w:tc>
          <w:tcPr>
            <w:tcW w:w="701" w:type="dxa"/>
            <w:shd w:val="clear" w:color="auto" w:fill="auto"/>
            <w:vAlign w:val="center"/>
          </w:tcPr>
          <w:p>
            <w:pPr>
              <w:pStyle w:val="43"/>
              <w:jc w:val="center"/>
            </w:pPr>
            <w:r>
              <w:t>3</w:t>
            </w:r>
          </w:p>
        </w:tc>
        <w:tc>
          <w:tcPr>
            <w:tcW w:w="1206" w:type="dxa"/>
            <w:shd w:val="clear" w:color="auto" w:fill="auto"/>
            <w:vAlign w:val="center"/>
          </w:tcPr>
          <w:p>
            <w:pPr>
              <w:pStyle w:val="43"/>
              <w:jc w:val="center"/>
            </w:pPr>
            <w: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continue"/>
            <w:vAlign w:val="center"/>
          </w:tcPr>
          <w:p>
            <w:pPr>
              <w:pStyle w:val="43"/>
            </w:pPr>
          </w:p>
        </w:tc>
        <w:tc>
          <w:tcPr>
            <w:tcW w:w="2553" w:type="dxa"/>
            <w:shd w:val="clear" w:color="auto" w:fill="auto"/>
            <w:vAlign w:val="center"/>
          </w:tcPr>
          <w:p>
            <w:pPr>
              <w:pStyle w:val="43"/>
            </w:pPr>
            <w:r>
              <w:t>高新技术企业数</w:t>
            </w:r>
          </w:p>
        </w:tc>
        <w:tc>
          <w:tcPr>
            <w:tcW w:w="708" w:type="dxa"/>
            <w:shd w:val="clear" w:color="auto" w:fill="auto"/>
            <w:vAlign w:val="center"/>
          </w:tcPr>
          <w:p>
            <w:pPr>
              <w:pStyle w:val="43"/>
              <w:jc w:val="center"/>
            </w:pPr>
            <w:r>
              <w:t>家</w:t>
            </w:r>
          </w:p>
        </w:tc>
        <w:tc>
          <w:tcPr>
            <w:tcW w:w="709" w:type="dxa"/>
            <w:shd w:val="clear" w:color="auto" w:fill="auto"/>
            <w:vAlign w:val="center"/>
          </w:tcPr>
          <w:p>
            <w:pPr>
              <w:pStyle w:val="43"/>
              <w:jc w:val="center"/>
            </w:pPr>
            <w:r>
              <w:t>6</w:t>
            </w:r>
          </w:p>
        </w:tc>
        <w:tc>
          <w:tcPr>
            <w:tcW w:w="830" w:type="dxa"/>
            <w:shd w:val="clear" w:color="auto" w:fill="auto"/>
            <w:vAlign w:val="center"/>
          </w:tcPr>
          <w:p>
            <w:pPr>
              <w:pStyle w:val="43"/>
              <w:jc w:val="center"/>
            </w:pPr>
            <w:r>
              <w:rPr>
                <w:rFonts w:hint="eastAsia"/>
              </w:rPr>
              <w:t>8</w:t>
            </w:r>
          </w:p>
        </w:tc>
        <w:tc>
          <w:tcPr>
            <w:tcW w:w="867" w:type="dxa"/>
            <w:shd w:val="clear" w:color="auto" w:fill="auto"/>
            <w:vAlign w:val="center"/>
          </w:tcPr>
          <w:p>
            <w:pPr>
              <w:pStyle w:val="43"/>
              <w:jc w:val="center"/>
            </w:pPr>
            <w:r>
              <w:rPr>
                <w:rFonts w:hint="eastAsia"/>
              </w:rPr>
              <w:t>12</w:t>
            </w:r>
          </w:p>
        </w:tc>
        <w:tc>
          <w:tcPr>
            <w:tcW w:w="701" w:type="dxa"/>
            <w:shd w:val="clear" w:color="auto" w:fill="auto"/>
            <w:vAlign w:val="center"/>
          </w:tcPr>
          <w:p>
            <w:pPr>
              <w:pStyle w:val="43"/>
              <w:jc w:val="center"/>
            </w:pPr>
            <w:r>
              <w:rPr>
                <w:rFonts w:hint="eastAsia"/>
              </w:rPr>
              <w:t>16</w:t>
            </w:r>
          </w:p>
        </w:tc>
        <w:tc>
          <w:tcPr>
            <w:tcW w:w="1206" w:type="dxa"/>
            <w:shd w:val="clear" w:color="auto" w:fill="auto"/>
            <w:vAlign w:val="center"/>
          </w:tcPr>
          <w:p>
            <w:pPr>
              <w:pStyle w:val="43"/>
              <w:jc w:val="center"/>
            </w:pPr>
            <w:r>
              <w:t>〔</w:t>
            </w:r>
            <w:r>
              <w:rPr>
                <w:rFonts w:hint="eastAsia"/>
              </w:rPr>
              <w:t>10</w:t>
            </w:r>
            <w: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restart"/>
            <w:shd w:val="clear" w:color="auto" w:fill="auto"/>
            <w:vAlign w:val="center"/>
          </w:tcPr>
          <w:p>
            <w:pPr>
              <w:pStyle w:val="43"/>
            </w:pPr>
            <w:r>
              <w:t>智造水平</w:t>
            </w:r>
          </w:p>
        </w:tc>
        <w:tc>
          <w:tcPr>
            <w:tcW w:w="2553" w:type="dxa"/>
            <w:shd w:val="clear" w:color="auto" w:fill="auto"/>
            <w:vAlign w:val="center"/>
          </w:tcPr>
          <w:p>
            <w:pPr>
              <w:pStyle w:val="43"/>
            </w:pPr>
            <w:r>
              <w:t>“两化”融合发展指数</w:t>
            </w:r>
          </w:p>
        </w:tc>
        <w:tc>
          <w:tcPr>
            <w:tcW w:w="708" w:type="dxa"/>
            <w:shd w:val="clear" w:color="auto" w:fill="auto"/>
            <w:vAlign w:val="center"/>
          </w:tcPr>
          <w:p>
            <w:pPr>
              <w:pStyle w:val="43"/>
              <w:jc w:val="center"/>
            </w:pPr>
            <w:r>
              <w:t>—</w:t>
            </w:r>
          </w:p>
        </w:tc>
        <w:tc>
          <w:tcPr>
            <w:tcW w:w="709" w:type="dxa"/>
            <w:shd w:val="clear" w:color="auto" w:fill="auto"/>
            <w:vAlign w:val="center"/>
          </w:tcPr>
          <w:p>
            <w:pPr>
              <w:pStyle w:val="43"/>
              <w:jc w:val="center"/>
            </w:pPr>
            <w:r>
              <w:t>73.27</w:t>
            </w:r>
          </w:p>
        </w:tc>
        <w:tc>
          <w:tcPr>
            <w:tcW w:w="830" w:type="dxa"/>
            <w:shd w:val="clear" w:color="auto" w:fill="auto"/>
            <w:vAlign w:val="center"/>
          </w:tcPr>
          <w:p>
            <w:pPr>
              <w:pStyle w:val="43"/>
              <w:jc w:val="center"/>
            </w:pPr>
            <w:r>
              <w:t>75</w:t>
            </w:r>
          </w:p>
        </w:tc>
        <w:tc>
          <w:tcPr>
            <w:tcW w:w="867" w:type="dxa"/>
            <w:shd w:val="clear" w:color="auto" w:fill="auto"/>
            <w:vAlign w:val="center"/>
          </w:tcPr>
          <w:p>
            <w:pPr>
              <w:pStyle w:val="43"/>
              <w:jc w:val="center"/>
            </w:pPr>
            <w:r>
              <w:t>80</w:t>
            </w:r>
          </w:p>
        </w:tc>
        <w:tc>
          <w:tcPr>
            <w:tcW w:w="701" w:type="dxa"/>
            <w:shd w:val="clear" w:color="auto" w:fill="auto"/>
            <w:vAlign w:val="center"/>
          </w:tcPr>
          <w:p>
            <w:pPr>
              <w:pStyle w:val="43"/>
              <w:jc w:val="center"/>
            </w:pPr>
            <w:r>
              <w:t>85</w:t>
            </w:r>
          </w:p>
        </w:tc>
        <w:tc>
          <w:tcPr>
            <w:tcW w:w="1206" w:type="dxa"/>
            <w:shd w:val="clear" w:color="auto" w:fill="auto"/>
            <w:vAlign w:val="center"/>
          </w:tcPr>
          <w:p>
            <w:pPr>
              <w:pStyle w:val="43"/>
              <w:jc w:val="center"/>
            </w:pPr>
            <w:r>
              <w:t>〔11.73〕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continue"/>
            <w:vAlign w:val="center"/>
          </w:tcPr>
          <w:p>
            <w:pPr>
              <w:pStyle w:val="43"/>
            </w:pPr>
          </w:p>
        </w:tc>
        <w:tc>
          <w:tcPr>
            <w:tcW w:w="2553" w:type="dxa"/>
            <w:shd w:val="clear" w:color="auto" w:fill="auto"/>
            <w:vAlign w:val="center"/>
          </w:tcPr>
          <w:p>
            <w:pPr>
              <w:pStyle w:val="43"/>
            </w:pPr>
            <w:r>
              <w:t>规上企业重点环节机器换人覆盖率</w:t>
            </w:r>
          </w:p>
        </w:tc>
        <w:tc>
          <w:tcPr>
            <w:tcW w:w="708" w:type="dxa"/>
            <w:shd w:val="clear" w:color="auto" w:fill="auto"/>
            <w:vAlign w:val="center"/>
          </w:tcPr>
          <w:p>
            <w:pPr>
              <w:pStyle w:val="43"/>
              <w:jc w:val="center"/>
            </w:pPr>
            <w:r>
              <w:t>%</w:t>
            </w:r>
          </w:p>
        </w:tc>
        <w:tc>
          <w:tcPr>
            <w:tcW w:w="709" w:type="dxa"/>
            <w:shd w:val="clear" w:color="auto" w:fill="auto"/>
            <w:vAlign w:val="center"/>
          </w:tcPr>
          <w:p>
            <w:pPr>
              <w:pStyle w:val="43"/>
              <w:jc w:val="center"/>
            </w:pPr>
            <w:r>
              <w:t>—</w:t>
            </w:r>
          </w:p>
        </w:tc>
        <w:tc>
          <w:tcPr>
            <w:tcW w:w="830" w:type="dxa"/>
            <w:shd w:val="clear" w:color="auto" w:fill="auto"/>
            <w:vAlign w:val="center"/>
          </w:tcPr>
          <w:p>
            <w:pPr>
              <w:pStyle w:val="43"/>
              <w:jc w:val="center"/>
            </w:pPr>
            <w:r>
              <w:t>—</w:t>
            </w:r>
          </w:p>
        </w:tc>
        <w:tc>
          <w:tcPr>
            <w:tcW w:w="867" w:type="dxa"/>
            <w:shd w:val="clear" w:color="auto" w:fill="auto"/>
            <w:vAlign w:val="center"/>
          </w:tcPr>
          <w:p>
            <w:pPr>
              <w:pStyle w:val="43"/>
              <w:jc w:val="center"/>
            </w:pPr>
            <w:r>
              <w:t>—</w:t>
            </w:r>
          </w:p>
        </w:tc>
        <w:tc>
          <w:tcPr>
            <w:tcW w:w="701" w:type="dxa"/>
            <w:shd w:val="clear" w:color="auto" w:fill="auto"/>
            <w:vAlign w:val="center"/>
          </w:tcPr>
          <w:p>
            <w:pPr>
              <w:pStyle w:val="43"/>
              <w:jc w:val="center"/>
            </w:pPr>
            <w:r>
              <w:t>100</w:t>
            </w:r>
          </w:p>
        </w:tc>
        <w:tc>
          <w:tcPr>
            <w:tcW w:w="1206" w:type="dxa"/>
            <w:shd w:val="clear" w:color="auto" w:fill="auto"/>
            <w:vAlign w:val="center"/>
          </w:tcPr>
          <w:p>
            <w:pPr>
              <w:pStyle w:val="43"/>
              <w:jc w:val="center"/>
            </w:pPr>
            <w: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restart"/>
            <w:shd w:val="clear" w:color="auto" w:fill="auto"/>
            <w:vAlign w:val="center"/>
          </w:tcPr>
          <w:p>
            <w:pPr>
              <w:pStyle w:val="43"/>
            </w:pPr>
            <w:r>
              <w:t>绿色发展</w:t>
            </w:r>
          </w:p>
        </w:tc>
        <w:tc>
          <w:tcPr>
            <w:tcW w:w="2553" w:type="dxa"/>
            <w:shd w:val="clear" w:color="auto" w:fill="auto"/>
            <w:vAlign w:val="center"/>
          </w:tcPr>
          <w:p>
            <w:pPr>
              <w:pStyle w:val="43"/>
            </w:pPr>
            <w:r>
              <w:t>万元工业增加值能耗下降幅度</w:t>
            </w:r>
          </w:p>
        </w:tc>
        <w:tc>
          <w:tcPr>
            <w:tcW w:w="708" w:type="dxa"/>
            <w:shd w:val="clear" w:color="auto" w:fill="auto"/>
            <w:vAlign w:val="center"/>
          </w:tcPr>
          <w:p>
            <w:pPr>
              <w:pStyle w:val="43"/>
              <w:jc w:val="center"/>
            </w:pPr>
            <w:r>
              <w:t>%</w:t>
            </w:r>
          </w:p>
        </w:tc>
        <w:tc>
          <w:tcPr>
            <w:tcW w:w="709" w:type="dxa"/>
            <w:shd w:val="clear" w:color="auto" w:fill="auto"/>
            <w:vAlign w:val="center"/>
          </w:tcPr>
          <w:p>
            <w:pPr>
              <w:pStyle w:val="43"/>
              <w:jc w:val="center"/>
            </w:pPr>
            <w:r>
              <w:t>—</w:t>
            </w:r>
          </w:p>
        </w:tc>
        <w:tc>
          <w:tcPr>
            <w:tcW w:w="2398" w:type="dxa"/>
            <w:gridSpan w:val="3"/>
            <w:shd w:val="clear" w:color="auto" w:fill="auto"/>
            <w:vAlign w:val="center"/>
          </w:tcPr>
          <w:p>
            <w:pPr>
              <w:pStyle w:val="43"/>
              <w:jc w:val="center"/>
            </w:pPr>
            <w:r>
              <w:t>完成上级下达指标</w:t>
            </w:r>
          </w:p>
        </w:tc>
        <w:tc>
          <w:tcPr>
            <w:tcW w:w="1206" w:type="dxa"/>
            <w:shd w:val="clear" w:color="auto" w:fill="auto"/>
            <w:vAlign w:val="center"/>
          </w:tcPr>
          <w:p>
            <w:pPr>
              <w:pStyle w:val="43"/>
              <w:jc w:val="center"/>
            </w:pPr>
            <w: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continue"/>
            <w:vAlign w:val="center"/>
          </w:tcPr>
          <w:p>
            <w:pPr>
              <w:pStyle w:val="43"/>
            </w:pPr>
          </w:p>
        </w:tc>
        <w:tc>
          <w:tcPr>
            <w:tcW w:w="2553" w:type="dxa"/>
            <w:shd w:val="clear" w:color="auto" w:fill="auto"/>
            <w:vAlign w:val="center"/>
          </w:tcPr>
          <w:p>
            <w:pPr>
              <w:pStyle w:val="43"/>
            </w:pPr>
            <w:r>
              <w:t>单位产值能耗下降幅度</w:t>
            </w:r>
          </w:p>
        </w:tc>
        <w:tc>
          <w:tcPr>
            <w:tcW w:w="708" w:type="dxa"/>
            <w:shd w:val="clear" w:color="auto" w:fill="auto"/>
            <w:vAlign w:val="center"/>
          </w:tcPr>
          <w:p>
            <w:pPr>
              <w:pStyle w:val="43"/>
              <w:jc w:val="center"/>
            </w:pPr>
            <w:r>
              <w:t>%</w:t>
            </w:r>
          </w:p>
        </w:tc>
        <w:tc>
          <w:tcPr>
            <w:tcW w:w="709" w:type="dxa"/>
            <w:shd w:val="clear" w:color="auto" w:fill="auto"/>
            <w:vAlign w:val="center"/>
          </w:tcPr>
          <w:p>
            <w:pPr>
              <w:pStyle w:val="43"/>
              <w:jc w:val="center"/>
            </w:pPr>
            <w:r>
              <w:t>—</w:t>
            </w:r>
          </w:p>
        </w:tc>
        <w:tc>
          <w:tcPr>
            <w:tcW w:w="2398" w:type="dxa"/>
            <w:gridSpan w:val="3"/>
            <w:shd w:val="clear" w:color="auto" w:fill="auto"/>
            <w:vAlign w:val="center"/>
          </w:tcPr>
          <w:p>
            <w:pPr>
              <w:pStyle w:val="43"/>
              <w:jc w:val="center"/>
            </w:pPr>
            <w:r>
              <w:t>完成上级下达指标</w:t>
            </w:r>
          </w:p>
        </w:tc>
        <w:tc>
          <w:tcPr>
            <w:tcW w:w="1206" w:type="dxa"/>
            <w:shd w:val="clear" w:color="auto" w:fill="auto"/>
            <w:vAlign w:val="center"/>
          </w:tcPr>
          <w:p>
            <w:pPr>
              <w:pStyle w:val="43"/>
              <w:jc w:val="center"/>
            </w:pPr>
            <w: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8" w:type="dxa"/>
            <w:vMerge w:val="continue"/>
            <w:vAlign w:val="center"/>
          </w:tcPr>
          <w:p>
            <w:pPr>
              <w:pStyle w:val="43"/>
            </w:pPr>
          </w:p>
        </w:tc>
        <w:tc>
          <w:tcPr>
            <w:tcW w:w="2553" w:type="dxa"/>
            <w:shd w:val="clear" w:color="auto" w:fill="auto"/>
            <w:vAlign w:val="center"/>
          </w:tcPr>
          <w:p>
            <w:pPr>
              <w:pStyle w:val="43"/>
            </w:pPr>
            <w:r>
              <w:t>主要污染物排放量下降幅度</w:t>
            </w:r>
          </w:p>
        </w:tc>
        <w:tc>
          <w:tcPr>
            <w:tcW w:w="708" w:type="dxa"/>
            <w:shd w:val="clear" w:color="auto" w:fill="auto"/>
            <w:vAlign w:val="center"/>
          </w:tcPr>
          <w:p>
            <w:pPr>
              <w:pStyle w:val="43"/>
              <w:jc w:val="center"/>
            </w:pPr>
            <w:r>
              <w:t>%</w:t>
            </w:r>
          </w:p>
        </w:tc>
        <w:tc>
          <w:tcPr>
            <w:tcW w:w="709" w:type="dxa"/>
            <w:shd w:val="clear" w:color="auto" w:fill="auto"/>
            <w:vAlign w:val="center"/>
          </w:tcPr>
          <w:p>
            <w:pPr>
              <w:pStyle w:val="43"/>
              <w:jc w:val="center"/>
            </w:pPr>
            <w:r>
              <w:t>—</w:t>
            </w:r>
          </w:p>
        </w:tc>
        <w:tc>
          <w:tcPr>
            <w:tcW w:w="2398" w:type="dxa"/>
            <w:gridSpan w:val="3"/>
            <w:shd w:val="clear" w:color="auto" w:fill="auto"/>
            <w:vAlign w:val="center"/>
          </w:tcPr>
          <w:p>
            <w:pPr>
              <w:pStyle w:val="43"/>
              <w:jc w:val="center"/>
            </w:pPr>
            <w:r>
              <w:t>完成上级下达指标</w:t>
            </w:r>
          </w:p>
        </w:tc>
        <w:tc>
          <w:tcPr>
            <w:tcW w:w="1206" w:type="dxa"/>
            <w:shd w:val="clear" w:color="auto" w:fill="auto"/>
            <w:vAlign w:val="center"/>
          </w:tcPr>
          <w:p>
            <w:pPr>
              <w:pStyle w:val="43"/>
              <w:jc w:val="center"/>
            </w:pPr>
            <w:r>
              <w:t>—</w:t>
            </w:r>
          </w:p>
        </w:tc>
      </w:tr>
    </w:tbl>
    <w:p>
      <w:pPr>
        <w:ind w:firstLine="0" w:firstLineChars="0"/>
        <w:rPr>
          <w:rFonts w:ascii="Times New Roman" w:hAnsi="Times New Roman"/>
        </w:rPr>
      </w:pPr>
    </w:p>
    <w:p>
      <w:pPr>
        <w:widowControl/>
        <w:ind w:firstLine="0" w:firstLineChars="0"/>
        <w:jc w:val="left"/>
        <w:rPr>
          <w:rFonts w:ascii="Times New Roman" w:hAnsi="Times New Roman" w:eastAsia="黑体"/>
          <w:b/>
        </w:rPr>
      </w:pPr>
      <w:r>
        <w:rPr>
          <w:rFonts w:ascii="Times New Roman" w:hAnsi="Times New Roman" w:eastAsia="黑体"/>
          <w:b/>
        </w:rPr>
        <w:br w:type="page"/>
      </w:r>
    </w:p>
    <w:p>
      <w:pPr>
        <w:pStyle w:val="2"/>
      </w:pPr>
      <w:bookmarkStart w:id="51" w:name="_Toc475456962"/>
      <w:bookmarkStart w:id="52" w:name="_Toc475457345"/>
      <w:bookmarkStart w:id="53" w:name="_Toc475457206"/>
      <w:r>
        <w:rPr>
          <w:rFonts w:hint="eastAsia"/>
        </w:rPr>
        <w:t>三、</w:t>
      </w:r>
      <w:r>
        <w:t>东阳磁性电子产业发展重点和空间布局</w:t>
      </w:r>
      <w:bookmarkEnd w:id="51"/>
      <w:bookmarkEnd w:id="52"/>
      <w:bookmarkEnd w:id="53"/>
    </w:p>
    <w:p>
      <w:pPr>
        <w:pStyle w:val="3"/>
        <w:rPr>
          <w:shd w:val="clear" w:color="auto" w:fill="auto"/>
        </w:rPr>
      </w:pPr>
      <w:bookmarkStart w:id="54" w:name="_Toc475456963"/>
      <w:bookmarkStart w:id="55" w:name="_Toc475457207"/>
      <w:bookmarkStart w:id="56" w:name="_Toc475457346"/>
      <w:r>
        <w:rPr>
          <w:shd w:val="clear" w:color="auto" w:fill="auto"/>
        </w:rPr>
        <w:t>（一）发展重点</w:t>
      </w:r>
      <w:bookmarkEnd w:id="54"/>
      <w:bookmarkEnd w:id="55"/>
      <w:bookmarkEnd w:id="56"/>
    </w:p>
    <w:p>
      <w:pPr>
        <w:pStyle w:val="35"/>
        <w:ind w:firstLine="640"/>
      </w:pPr>
      <w:r>
        <w:rPr>
          <w:rFonts w:hint="eastAsia"/>
        </w:rPr>
        <w:t>“十三五”期间，</w:t>
      </w:r>
      <w:r>
        <w:t>东阳磁性电子产业</w:t>
      </w:r>
      <w:r>
        <w:rPr>
          <w:rFonts w:hint="eastAsia"/>
        </w:rPr>
        <w:t>重点提升</w:t>
      </w:r>
      <w:r>
        <w:t>磁性材料产业的发展水平，加快向产业链下游应用领域延伸</w:t>
      </w:r>
      <w:r>
        <w:rPr>
          <w:rFonts w:hint="eastAsia"/>
        </w:rPr>
        <w:t>。其中，磁性材料领域主要包括永磁铁氧体、软磁铁氧体和钕铁硼永磁；下游</w:t>
      </w:r>
      <w:r>
        <w:t>应用领域</w:t>
      </w:r>
      <w:r>
        <w:rPr>
          <w:rFonts w:hint="eastAsia"/>
        </w:rPr>
        <w:t>以电子元器件为</w:t>
      </w:r>
      <w:r>
        <w:t>重点突破口，</w:t>
      </w:r>
      <w:r>
        <w:rPr>
          <w:rFonts w:hint="eastAsia"/>
        </w:rPr>
        <w:t>主要</w:t>
      </w:r>
      <w:r>
        <w:t>发展照明、</w:t>
      </w:r>
      <w:r>
        <w:rPr>
          <w:rFonts w:hint="eastAsia"/>
        </w:rPr>
        <w:t>电声</w:t>
      </w:r>
      <w:r>
        <w:t>、电机，以及</w:t>
      </w:r>
      <w:r>
        <w:rPr>
          <w:rFonts w:hint="eastAsia"/>
        </w:rPr>
        <w:t>波纹管、太阳能光伏等。</w:t>
      </w:r>
    </w:p>
    <w:p>
      <w:pPr>
        <w:pStyle w:val="4"/>
        <w:rPr>
          <w:shd w:val="clear" w:color="auto" w:fill="auto"/>
        </w:rPr>
      </w:pPr>
      <w:bookmarkStart w:id="57" w:name="_Toc467576759"/>
      <w:bookmarkStart w:id="58" w:name="_Toc475456964"/>
      <w:r>
        <w:rPr>
          <w:shd w:val="clear" w:color="auto" w:fill="auto"/>
        </w:rPr>
        <w:t>1、磁性材料领域</w:t>
      </w:r>
      <w:bookmarkEnd w:id="57"/>
      <w:bookmarkEnd w:id="58"/>
    </w:p>
    <w:p>
      <w:pPr>
        <w:pStyle w:val="45"/>
      </w:pPr>
      <w:r>
        <w:t>1）永磁铁氧体</w:t>
      </w:r>
    </w:p>
    <w:p>
      <w:pPr>
        <w:pStyle w:val="35"/>
        <w:ind w:firstLine="640"/>
      </w:pPr>
      <w:r>
        <w:t>加快永磁铁氧体产品向高技术、高性能、低污染、小型化等方向发展</w:t>
      </w:r>
      <w:r>
        <w:rPr>
          <w:rFonts w:hint="eastAsia"/>
        </w:rPr>
        <w:t>，不断满足</w:t>
      </w:r>
      <w:r>
        <w:t>家电、数码、电子</w:t>
      </w:r>
      <w:r>
        <w:rPr>
          <w:rFonts w:hint="eastAsia"/>
        </w:rPr>
        <w:t>等</w:t>
      </w:r>
      <w:r>
        <w:t>产品更新换代、产品升级速度加快</w:t>
      </w:r>
      <w:r>
        <w:rPr>
          <w:rFonts w:hint="eastAsia"/>
        </w:rPr>
        <w:t>、</w:t>
      </w:r>
      <w:r>
        <w:t>消费者节能环保理念提升</w:t>
      </w:r>
      <w:r>
        <w:rPr>
          <w:rFonts w:hint="eastAsia"/>
        </w:rPr>
        <w:t>等新趋势新需求，提升为</w:t>
      </w:r>
      <w:r>
        <w:t>数字化和高性能消费类</w:t>
      </w:r>
      <w:r>
        <w:rPr>
          <w:rFonts w:hint="eastAsia"/>
        </w:rPr>
        <w:t>电子</w:t>
      </w:r>
      <w:r>
        <w:t>产品</w:t>
      </w:r>
      <w:r>
        <w:rPr>
          <w:rFonts w:hint="eastAsia"/>
        </w:rPr>
        <w:t>配套水平。</w:t>
      </w:r>
      <w:r>
        <w:t>重点围绕汽车与节能家电领域，鼓励企业大力发展永磁风力发电机、超高效永磁电动机、永磁节油器等产品；</w:t>
      </w:r>
      <w:r>
        <w:rPr>
          <w:rFonts w:hint="eastAsia"/>
        </w:rPr>
        <w:t>加快</w:t>
      </w:r>
      <w:r>
        <w:t>拓展移动通信、数控机床、机器人等领域的</w:t>
      </w:r>
      <w:r>
        <w:rPr>
          <w:rFonts w:hint="eastAsia"/>
        </w:rPr>
        <w:t>磁性半导体、磁敏传感、磁阻传感等产品</w:t>
      </w:r>
      <w:r>
        <w:t>；稳步提升电机、扬声器、吸附磁体、高保真音响等传统应用领域永磁铁氧体产品向中高档方向发展。</w:t>
      </w:r>
    </w:p>
    <w:p>
      <w:pPr>
        <w:pStyle w:val="35"/>
        <w:ind w:firstLine="640"/>
      </w:pPr>
      <w:r>
        <w:rPr>
          <w:rFonts w:hint="eastAsia"/>
        </w:rPr>
        <w:t>引领</w:t>
      </w:r>
      <w:r>
        <w:t>企业：</w:t>
      </w:r>
      <w:r>
        <w:rPr>
          <w:rFonts w:hint="eastAsia"/>
        </w:rPr>
        <w:t>横店</w:t>
      </w:r>
      <w:r>
        <w:t>东磁</w:t>
      </w:r>
      <w:r>
        <w:rPr>
          <w:rFonts w:hint="eastAsia"/>
        </w:rPr>
        <w:t>、凯文磁钢</w:t>
      </w:r>
      <w:r>
        <w:t>、</w:t>
      </w:r>
      <w:r>
        <w:rPr>
          <w:rFonts w:hint="eastAsia"/>
        </w:rPr>
        <w:t>南磁实业</w:t>
      </w:r>
      <w:r>
        <w:t>、</w:t>
      </w:r>
      <w:r>
        <w:rPr>
          <w:rFonts w:hint="eastAsia"/>
        </w:rPr>
        <w:t>东翔磁材、富仕特磁业、剑华磁业</w:t>
      </w:r>
      <w:r>
        <w:t>等。</w:t>
      </w:r>
    </w:p>
    <w:p>
      <w:pPr>
        <w:pStyle w:val="45"/>
      </w:pPr>
      <w:r>
        <w:t>2）软磁铁氧体</w:t>
      </w:r>
    </w:p>
    <w:p>
      <w:pPr>
        <w:pStyle w:val="35"/>
        <w:ind w:firstLine="640"/>
      </w:pPr>
      <w:r>
        <w:rPr>
          <w:rFonts w:hint="eastAsia"/>
        </w:rPr>
        <w:t>以</w:t>
      </w:r>
      <w:r>
        <w:t>手机多媒体化、电脑笔记本化、电视平板化、汽车智能化、照明节能化等技术</w:t>
      </w:r>
      <w:r>
        <w:rPr>
          <w:rFonts w:hint="eastAsia"/>
        </w:rPr>
        <w:t>升级为方向</w:t>
      </w:r>
      <w:r>
        <w:t>，</w:t>
      </w:r>
      <w:r>
        <w:rPr>
          <w:rFonts w:hint="eastAsia"/>
        </w:rPr>
        <w:t>提升</w:t>
      </w:r>
      <w:r>
        <w:t>软磁铁氧体产品</w:t>
      </w:r>
      <w:r>
        <w:rPr>
          <w:rFonts w:hint="eastAsia"/>
        </w:rPr>
        <w:t>对下游产业的适配水平，扩大应用范围。</w:t>
      </w:r>
      <w:r>
        <w:t>重点发展以风能发电、太阳能中转换器、变换器等为代表的环保能源、绿色照明和节能设备等领域的新产品、高档产品，实现规模化生产。</w:t>
      </w:r>
    </w:p>
    <w:p>
      <w:pPr>
        <w:pStyle w:val="35"/>
        <w:ind w:firstLine="640"/>
      </w:pPr>
      <w:r>
        <w:rPr>
          <w:rFonts w:hint="eastAsia"/>
        </w:rPr>
        <w:t>引领</w:t>
      </w:r>
      <w:r>
        <w:t>企业：</w:t>
      </w:r>
      <w:r>
        <w:rPr>
          <w:rFonts w:hint="eastAsia"/>
        </w:rPr>
        <w:t>横店</w:t>
      </w:r>
      <w:r>
        <w:t>东磁</w:t>
      </w:r>
      <w:r>
        <w:rPr>
          <w:rFonts w:hint="eastAsia"/>
        </w:rPr>
        <w:t>等。</w:t>
      </w:r>
    </w:p>
    <w:p>
      <w:pPr>
        <w:pStyle w:val="45"/>
      </w:pPr>
      <w:r>
        <w:t>3）钕铁硼永磁</w:t>
      </w:r>
    </w:p>
    <w:p>
      <w:pPr>
        <w:pStyle w:val="35"/>
        <w:ind w:firstLine="640"/>
      </w:pPr>
      <w:r>
        <w:rPr>
          <w:rFonts w:hint="eastAsia"/>
        </w:rPr>
        <w:t>以</w:t>
      </w:r>
      <w:r>
        <w:t>高剩磁、高磁能积、高内禀矫顽力钕铁硼永磁材料</w:t>
      </w:r>
      <w:r>
        <w:rPr>
          <w:rFonts w:hint="eastAsia"/>
        </w:rPr>
        <w:t>开发和生产为主要目标，加大对新兴技术的追踪和新兴产业的应用，</w:t>
      </w:r>
      <w:r>
        <w:t>不断向高档化、高性价比、微型化等方向提升。</w:t>
      </w:r>
      <w:r>
        <w:rPr>
          <w:rFonts w:hint="eastAsia"/>
        </w:rPr>
        <w:t>重点</w:t>
      </w:r>
      <w:r>
        <w:t>开发中高档钕铁硼产品，拓展在计算机、混合动力汽车、风力发电、磁化设备等领域的应用；加强配方、生产工艺方面的改进，在保证钕铁硼产品性能的同时减少Tb、Dy、Zr、Co等</w:t>
      </w:r>
      <w:r>
        <w:rPr>
          <w:rFonts w:hint="eastAsia"/>
        </w:rPr>
        <w:t>元素</w:t>
      </w:r>
      <w:r>
        <w:t>的添加，降低生产成本。</w:t>
      </w:r>
    </w:p>
    <w:p>
      <w:pPr>
        <w:pStyle w:val="35"/>
        <w:ind w:firstLine="640"/>
      </w:pPr>
      <w:r>
        <w:rPr>
          <w:rFonts w:hint="eastAsia"/>
        </w:rPr>
        <w:t>引领</w:t>
      </w:r>
      <w:r>
        <w:t>企业：英洛华磁业、</w:t>
      </w:r>
      <w:r>
        <w:rPr>
          <w:rFonts w:hint="eastAsia"/>
        </w:rPr>
        <w:t>横店</w:t>
      </w:r>
      <w:r>
        <w:t>东磁、中元磁业</w:t>
      </w:r>
      <w:r>
        <w:rPr>
          <w:rFonts w:hint="eastAsia"/>
        </w:rPr>
        <w:t>、</w:t>
      </w:r>
      <w:r>
        <w:t>亿力磁业</w:t>
      </w:r>
      <w:r>
        <w:rPr>
          <w:rFonts w:hint="eastAsia"/>
        </w:rPr>
        <w:t>、</w:t>
      </w:r>
      <w:r>
        <w:t>顶峰磁材、中科磁业等。</w:t>
      </w:r>
    </w:p>
    <w:p>
      <w:pPr>
        <w:pStyle w:val="4"/>
        <w:rPr>
          <w:shd w:val="clear" w:color="auto" w:fill="auto"/>
        </w:rPr>
      </w:pPr>
      <w:bookmarkStart w:id="59" w:name="_Toc475456965"/>
      <w:bookmarkStart w:id="60" w:name="_Toc467576760"/>
      <w:r>
        <w:rPr>
          <w:shd w:val="clear" w:color="auto" w:fill="auto"/>
        </w:rPr>
        <w:t>2、电子元器件领域</w:t>
      </w:r>
      <w:bookmarkEnd w:id="59"/>
      <w:bookmarkEnd w:id="60"/>
    </w:p>
    <w:p>
      <w:pPr>
        <w:pStyle w:val="45"/>
      </w:pPr>
      <w:r>
        <w:rPr>
          <w:rFonts w:hint="eastAsia"/>
        </w:rPr>
        <w:t>1</w:t>
      </w:r>
      <w:r>
        <w:t>）</w:t>
      </w:r>
      <w:r>
        <w:rPr>
          <w:rFonts w:hint="eastAsia"/>
        </w:rPr>
        <w:t>照明</w:t>
      </w:r>
    </w:p>
    <w:p>
      <w:pPr>
        <w:pStyle w:val="35"/>
        <w:ind w:firstLine="640"/>
      </w:pPr>
      <w:r>
        <w:rPr>
          <w:rFonts w:hint="eastAsia"/>
        </w:rPr>
        <w:t>以</w:t>
      </w:r>
      <w:r>
        <w:t>灯和灯具一体化、智能化、节能环保、美观</w:t>
      </w:r>
      <w:r>
        <w:rPr>
          <w:rFonts w:hint="eastAsia"/>
        </w:rPr>
        <w:t>化</w:t>
      </w:r>
      <w:r>
        <w:t>等</w:t>
      </w:r>
      <w:r>
        <w:rPr>
          <w:rFonts w:hint="eastAsia"/>
        </w:rPr>
        <w:t>为发展方向，开发</w:t>
      </w:r>
      <w:r>
        <w:t>具有体积小、耗电量低、使用寿命长、高亮度、低热量、环保、坚固耐用、可控性强等特点</w:t>
      </w:r>
      <w:r>
        <w:rPr>
          <w:rFonts w:hint="eastAsia"/>
        </w:rPr>
        <w:t>的</w:t>
      </w:r>
      <w:r>
        <w:t>第四代照明光源或绿色光源</w:t>
      </w:r>
      <w:r>
        <w:rPr>
          <w:rFonts w:hint="eastAsia"/>
        </w:rPr>
        <w:t>（</w:t>
      </w:r>
      <w:r>
        <w:t>LED</w:t>
      </w:r>
      <w:r>
        <w:rPr>
          <w:rFonts w:hint="eastAsia"/>
        </w:rPr>
        <w:t>）。突破</w:t>
      </w:r>
      <w:r>
        <w:t>发光效率、发光强度等LED核心技术指标，不断提升传统节能灯、LED 灯泡和LED 室内应用灯具</w:t>
      </w:r>
      <w:r>
        <w:rPr>
          <w:rFonts w:hint="eastAsia"/>
        </w:rPr>
        <w:t>等领域的技术水平</w:t>
      </w:r>
      <w:r>
        <w:t>，加快发展手机、数码相机、便携式游戏机等移动设备系统领域和汽车内部仪表板、音响指示灯、开关的背光源、阅读灯等汽车照明领域。</w:t>
      </w:r>
    </w:p>
    <w:p>
      <w:pPr>
        <w:pStyle w:val="35"/>
        <w:ind w:firstLine="640"/>
      </w:pPr>
      <w:r>
        <w:rPr>
          <w:rFonts w:hint="eastAsia"/>
        </w:rPr>
        <w:t>引领</w:t>
      </w:r>
      <w:r>
        <w:t>企业：</w:t>
      </w:r>
      <w:r>
        <w:rPr>
          <w:rFonts w:hint="eastAsia"/>
        </w:rPr>
        <w:t>得邦照明、明凯照明、卡克工贸</w:t>
      </w:r>
      <w:r>
        <w:rPr>
          <w:rFonts w:hint="eastAsia" w:eastAsia="仿宋"/>
          <w:szCs w:val="22"/>
        </w:rPr>
        <w:t>等。</w:t>
      </w:r>
    </w:p>
    <w:p>
      <w:pPr>
        <w:pStyle w:val="45"/>
      </w:pPr>
      <w:r>
        <w:rPr>
          <w:rFonts w:hint="eastAsia"/>
        </w:rPr>
        <w:t>2</w:t>
      </w:r>
      <w:r>
        <w:t>）电声</w:t>
      </w:r>
    </w:p>
    <w:p>
      <w:pPr>
        <w:pStyle w:val="35"/>
        <w:ind w:firstLine="640"/>
      </w:pPr>
      <w:r>
        <w:rPr>
          <w:rFonts w:hint="eastAsia"/>
        </w:rPr>
        <w:t>加大对</w:t>
      </w:r>
      <w:r>
        <w:t>世界电子工业的调整、信息技术和通信技术</w:t>
      </w:r>
      <w:r>
        <w:rPr>
          <w:rFonts w:hint="eastAsia"/>
        </w:rPr>
        <w:t>快速更迭等前沿信息的跟踪和对接</w:t>
      </w:r>
      <w:r>
        <w:t>，</w:t>
      </w:r>
      <w:r>
        <w:rPr>
          <w:rFonts w:hint="eastAsia"/>
        </w:rPr>
        <w:t>将其引入到电声行业中。</w:t>
      </w:r>
      <w:r>
        <w:t>充分利用东阳磁性材料产业良好基础，进一步做大做强微型喇叭、电视机用喇叭、汽车用喇叭和音箱等传统终端产品，加快现代无线通信技术与电声产品的融合，努力研制蓝牙音箱、WiFi音箱、声霸、台灯音箱等智能音响产品，不断提升音响产品的智能化、时尚化水平。</w:t>
      </w:r>
    </w:p>
    <w:p>
      <w:pPr>
        <w:pStyle w:val="35"/>
        <w:ind w:firstLine="640"/>
      </w:pPr>
      <w:r>
        <w:rPr>
          <w:rFonts w:hint="eastAsia"/>
        </w:rPr>
        <w:t>引领</w:t>
      </w:r>
      <w:r>
        <w:t>企业：全方音响、万利电子、</w:t>
      </w:r>
      <w:r>
        <w:rPr>
          <w:rFonts w:hint="eastAsia"/>
        </w:rPr>
        <w:t>银河东方电子、</w:t>
      </w:r>
      <w:r>
        <w:t>中昊电子、诚意达电子、大联电声器材</w:t>
      </w:r>
      <w:r>
        <w:rPr>
          <w:rFonts w:hint="eastAsia"/>
        </w:rPr>
        <w:t>、海强电声配件</w:t>
      </w:r>
      <w:r>
        <w:t>等。</w:t>
      </w:r>
    </w:p>
    <w:p>
      <w:pPr>
        <w:pStyle w:val="45"/>
      </w:pPr>
      <w:r>
        <w:rPr>
          <w:rFonts w:hint="eastAsia"/>
        </w:rPr>
        <w:t>3</w:t>
      </w:r>
      <w:r>
        <w:t>）电机</w:t>
      </w:r>
    </w:p>
    <w:p>
      <w:pPr>
        <w:pStyle w:val="35"/>
        <w:ind w:firstLine="640"/>
      </w:pPr>
      <w:r>
        <w:rPr>
          <w:rFonts w:hint="eastAsia"/>
        </w:rPr>
        <w:t>以高附加值、</w:t>
      </w:r>
      <w:r>
        <w:t>高效率、高功率密度、高可靠性、低噪声以及良好的可维修性和可替换性方向发展，</w:t>
      </w:r>
      <w:r>
        <w:rPr>
          <w:rFonts w:hint="eastAsia"/>
        </w:rPr>
        <w:t>不断提高电机产品</w:t>
      </w:r>
      <w:r>
        <w:t>设计水平</w:t>
      </w:r>
      <w:r>
        <w:rPr>
          <w:rFonts w:hint="eastAsia"/>
        </w:rPr>
        <w:t>和制</w:t>
      </w:r>
      <w:r>
        <w:t>造水平。发展驱动系统噪声小、维修费用低、重量轻、可靠性高的直驱永磁电机，进一步提升风力发电机的单机容量；加强技术改进，响应国家节能政策，开发高效、节能电机产品；提高对新一代信息技术等的融合水平，推进和发展机电一体化、智能化电机等。</w:t>
      </w:r>
    </w:p>
    <w:p>
      <w:pPr>
        <w:pStyle w:val="35"/>
        <w:ind w:firstLine="640"/>
      </w:pPr>
      <w:r>
        <w:rPr>
          <w:rFonts w:hint="eastAsia"/>
        </w:rPr>
        <w:t>引领</w:t>
      </w:r>
      <w:r>
        <w:t>企业：</w:t>
      </w:r>
      <w:r>
        <w:rPr>
          <w:rFonts w:hint="eastAsia"/>
        </w:rPr>
        <w:t>英洛华电机、辉盛电子、</w:t>
      </w:r>
      <w:r>
        <w:t>必成实业</w:t>
      </w:r>
      <w:r>
        <w:rPr>
          <w:rFonts w:hint="eastAsia"/>
        </w:rPr>
        <w:t>、双洋电机磁瓦、极光电子</w:t>
      </w:r>
      <w:r>
        <w:t>等。</w:t>
      </w:r>
    </w:p>
    <w:p>
      <w:pPr>
        <w:pStyle w:val="45"/>
      </w:pPr>
      <w:r>
        <w:t>4）其他</w:t>
      </w:r>
    </w:p>
    <w:p>
      <w:pPr>
        <w:pStyle w:val="35"/>
        <w:ind w:firstLine="640"/>
      </w:pPr>
      <w:r>
        <w:t>波纹管领域，</w:t>
      </w:r>
      <w:r>
        <w:rPr>
          <w:rFonts w:hint="eastAsia"/>
        </w:rPr>
        <w:t>重点</w:t>
      </w:r>
      <w:r>
        <w:t>开发汽车用、阀门用、光伏用波纹管，提升进口替代水平；加快转化军用产品技术，努力在军转民上进行突破，设计出稳定、机械化水平高的生产线。太阳能光伏发电领域，主要以低成本、高转化效率、节能环保为发展方向，开发太阳能逆变器、太阳能控制器、太阳跟踪系统、太阳能电池、太阳能路灯、太阳能发电机、太阳能交通信号灯、太阳能手机充电器等产品。</w:t>
      </w:r>
    </w:p>
    <w:p>
      <w:pPr>
        <w:pStyle w:val="35"/>
        <w:ind w:firstLine="640"/>
      </w:pPr>
      <w:r>
        <w:rPr>
          <w:rFonts w:hint="eastAsia"/>
        </w:rPr>
        <w:t>引领</w:t>
      </w:r>
      <w:r>
        <w:t>企业：</w:t>
      </w:r>
      <w:r>
        <w:rPr>
          <w:rFonts w:hint="eastAsia"/>
        </w:rPr>
        <w:t>横店东磁、</w:t>
      </w:r>
      <w:r>
        <w:t>花园金波、英洛华</w:t>
      </w:r>
      <w:r>
        <w:rPr>
          <w:rFonts w:hint="eastAsia"/>
        </w:rPr>
        <w:t>电子</w:t>
      </w:r>
      <w:r>
        <w:t>、华恒温控器、</w:t>
      </w:r>
      <w:r>
        <w:rPr>
          <w:rFonts w:hint="eastAsia"/>
        </w:rPr>
        <w:t>华宇电器</w:t>
      </w:r>
      <w:r>
        <w:t>等。</w:t>
      </w:r>
    </w:p>
    <w:p>
      <w:pPr>
        <w:pStyle w:val="3"/>
        <w:rPr>
          <w:shd w:val="clear" w:color="auto" w:fill="auto"/>
        </w:rPr>
      </w:pPr>
      <w:bookmarkStart w:id="61" w:name="_Toc475457347"/>
      <w:bookmarkStart w:id="62" w:name="_Toc475456966"/>
      <w:bookmarkStart w:id="63" w:name="_Toc475457208"/>
      <w:r>
        <w:rPr>
          <w:shd w:val="clear" w:color="auto" w:fill="auto"/>
        </w:rPr>
        <w:t>（二）空间布局</w:t>
      </w:r>
      <w:bookmarkEnd w:id="61"/>
      <w:bookmarkEnd w:id="62"/>
      <w:bookmarkEnd w:id="63"/>
    </w:p>
    <w:p>
      <w:pPr>
        <w:pStyle w:val="35"/>
        <w:ind w:firstLine="640"/>
      </w:pPr>
      <w:r>
        <w:rPr>
          <w:rFonts w:hint="eastAsia"/>
        </w:rPr>
        <w:t>根据《东阳市域总体规划（</w:t>
      </w:r>
      <w:r>
        <w:t>20</w:t>
      </w:r>
      <w:r>
        <w:rPr>
          <w:rFonts w:hint="eastAsia"/>
        </w:rPr>
        <w:t>13</w:t>
      </w:r>
      <w:r>
        <w:t>-20</w:t>
      </w:r>
      <w:r>
        <w:rPr>
          <w:rFonts w:hint="eastAsia"/>
        </w:rPr>
        <w:t>35</w:t>
      </w:r>
      <w:r>
        <w:t>年）》、</w:t>
      </w:r>
      <w:r>
        <w:rPr>
          <w:rFonts w:hint="eastAsia"/>
        </w:rPr>
        <w:t>磁性电子产业</w:t>
      </w:r>
      <w:r>
        <w:t>空间布局以及产业发展现状</w:t>
      </w:r>
      <w:r>
        <w:rPr>
          <w:rFonts w:hint="eastAsia"/>
        </w:rPr>
        <w:t>，按照工业平台整合提升思路，着力推进横店电子产业园区和磁性材料工业功能区转型升级，构建以</w:t>
      </w:r>
      <w:r>
        <w:t>横店</w:t>
      </w:r>
      <w:r>
        <w:rPr>
          <w:rFonts w:hint="eastAsia"/>
        </w:rPr>
        <w:t>电子工业园区和东阳经济开发区为核心的“南北协同、双轮驱动”产业发展格局。</w:t>
      </w:r>
    </w:p>
    <w:p>
      <w:pPr>
        <w:pStyle w:val="4"/>
        <w:rPr>
          <w:shd w:val="clear" w:color="auto" w:fill="auto"/>
        </w:rPr>
      </w:pPr>
      <w:bookmarkStart w:id="64" w:name="_Toc467576762"/>
      <w:bookmarkStart w:id="65" w:name="_Toc475456967"/>
      <w:r>
        <w:rPr>
          <w:shd w:val="clear" w:color="auto" w:fill="auto"/>
        </w:rPr>
        <w:t>1</w:t>
      </w:r>
      <w:r>
        <w:rPr>
          <w:rFonts w:hint="eastAsia"/>
          <w:shd w:val="clear" w:color="auto" w:fill="auto"/>
        </w:rPr>
        <w:t>、横店电子工业园区</w:t>
      </w:r>
      <w:bookmarkEnd w:id="64"/>
      <w:bookmarkEnd w:id="65"/>
    </w:p>
    <w:p>
      <w:pPr>
        <w:pStyle w:val="35"/>
        <w:ind w:firstLine="640"/>
      </w:pPr>
      <w:r>
        <w:rPr>
          <w:rFonts w:hint="eastAsia"/>
        </w:rPr>
        <w:t>横店电子工业园区，作为东阳磁性电子产业发展的主要载体，是磁性电子企业的主要集聚区，是支撑行业稳健发展的关键所在。“十三五”期间，要加快推进横店电子工业园区二期</w:t>
      </w:r>
      <w:r>
        <w:t>1100多亩工业功能区建设，加快整合南马、南市，推进产业园区扩容，进一步增强发展潜力。</w:t>
      </w:r>
      <w:r>
        <w:rPr>
          <w:rFonts w:hint="eastAsia"/>
        </w:rPr>
        <w:t>努力做好“省级高新技术园区”创建工作，把横店电子工业园建设成为全省重要的高新技术产业基地和绿色生态园区。</w:t>
      </w:r>
    </w:p>
    <w:p>
      <w:pPr>
        <w:pStyle w:val="4"/>
        <w:rPr>
          <w:shd w:val="clear" w:color="auto" w:fill="auto"/>
        </w:rPr>
      </w:pPr>
      <w:bookmarkStart w:id="66" w:name="_Toc475456968"/>
      <w:bookmarkStart w:id="67" w:name="_Toc467576763"/>
      <w:r>
        <w:rPr>
          <w:shd w:val="clear" w:color="auto" w:fill="auto"/>
        </w:rPr>
        <w:t>2</w:t>
      </w:r>
      <w:r>
        <w:rPr>
          <w:rFonts w:hint="eastAsia"/>
          <w:shd w:val="clear" w:color="auto" w:fill="auto"/>
        </w:rPr>
        <w:t>、东阳经济开发区</w:t>
      </w:r>
      <w:bookmarkEnd w:id="66"/>
      <w:bookmarkEnd w:id="67"/>
    </w:p>
    <w:p>
      <w:pPr>
        <w:pStyle w:val="35"/>
        <w:ind w:firstLine="640"/>
      </w:pPr>
      <w:r>
        <w:rPr>
          <w:rFonts w:hint="eastAsia"/>
        </w:rPr>
        <w:t>东阳经济开发区，作为东阳工业持续健康发展的“主引擎”，是磁性电子产业发展的重要载体，是推进行业快速发展的增量所在。“十三五”期间，以城北工业新区首期</w:t>
      </w:r>
      <w:r>
        <w:t>8平方公里开发</w:t>
      </w:r>
      <w:r>
        <w:rPr>
          <w:rFonts w:hint="eastAsia"/>
        </w:rPr>
        <w:t>建设为契机，加快推进东阳经济开发区长松岗工业功能区扩容升级，整合城东，着力</w:t>
      </w:r>
      <w:r>
        <w:t>引进一批规模大、前景好、带动力强的</w:t>
      </w:r>
      <w:r>
        <w:rPr>
          <w:rFonts w:hint="eastAsia"/>
        </w:rPr>
        <w:t>磁性电子产业和上下游配套</w:t>
      </w:r>
      <w:r>
        <w:t>产业项目，</w:t>
      </w:r>
      <w:r>
        <w:rPr>
          <w:rFonts w:hint="eastAsia"/>
        </w:rPr>
        <w:t>打造成东阳磁性电子产业快速发展的又一高地。</w:t>
      </w:r>
    </w:p>
    <w:p>
      <w:pPr>
        <w:pStyle w:val="32"/>
        <w:spacing w:line="240" w:lineRule="auto"/>
        <w:ind w:firstLine="200"/>
        <w:rPr>
          <w:rFonts w:ascii="Times New Roman" w:hAnsi="Times New Roman"/>
          <w:sz w:val="10"/>
          <w:szCs w:val="10"/>
        </w:rPr>
      </w:pPr>
      <w:r>
        <w:rPr>
          <w:sz w:val="10"/>
          <w:szCs w:val="10"/>
        </w:rPr>
        <w:drawing>
          <wp:anchor distT="0" distB="0" distL="114300" distR="114300" simplePos="0" relativeHeight="251659264" behindDoc="0" locked="0" layoutInCell="1" allowOverlap="1">
            <wp:simplePos x="0" y="0"/>
            <wp:positionH relativeFrom="column">
              <wp:posOffset>118110</wp:posOffset>
            </wp:positionH>
            <wp:positionV relativeFrom="paragraph">
              <wp:posOffset>245110</wp:posOffset>
            </wp:positionV>
            <wp:extent cx="5274310" cy="4546600"/>
            <wp:effectExtent l="19050" t="19050" r="21590" b="25400"/>
            <wp:wrapTopAndBottom/>
            <wp:docPr id="7" name="图片 7" descr="C:\Users\Jeffrey\AppData\Local\Microsoft\Windows\INetCacheContent.Word\【2016-09-12】磁性电子行业空间布局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Jeffrey\AppData\Local\Microsoft\Windows\INetCacheContent.Word\【2016-09-12】磁性电子行业空间布局图.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274310" cy="4546600"/>
                    </a:xfrm>
                    <a:prstGeom prst="rect">
                      <a:avLst/>
                    </a:prstGeom>
                    <a:noFill/>
                    <a:ln>
                      <a:solidFill>
                        <a:schemeClr val="accent1"/>
                      </a:solidFill>
                    </a:ln>
                  </pic:spPr>
                </pic:pic>
              </a:graphicData>
            </a:graphic>
          </wp:anchor>
        </w:drawing>
      </w:r>
      <w:r>
        <w:rPr>
          <w:rFonts w:ascii="Times New Roman" w:hAnsi="Times New Roman"/>
          <w:sz w:val="10"/>
          <w:szCs w:val="10"/>
        </w:rPr>
        <w:t xml:space="preserve"> </w:t>
      </w:r>
    </w:p>
    <w:p>
      <w:pPr>
        <w:pStyle w:val="41"/>
      </w:pPr>
      <w:r>
        <w:rPr>
          <w:rFonts w:hint="eastAsia"/>
        </w:rPr>
        <w:t>图</w:t>
      </w:r>
      <w:r>
        <w:fldChar w:fldCharType="begin"/>
      </w:r>
      <w:r>
        <w:instrText xml:space="preserve"> SEQ 图表 \* ARABIC </w:instrText>
      </w:r>
      <w:r>
        <w:fldChar w:fldCharType="separate"/>
      </w:r>
      <w:r>
        <w:t>2</w:t>
      </w:r>
      <w:r>
        <w:fldChar w:fldCharType="end"/>
      </w:r>
      <w:r>
        <w:t xml:space="preserve">  </w:t>
      </w:r>
      <w:r>
        <w:rPr>
          <w:rFonts w:hint="eastAsia"/>
        </w:rPr>
        <w:t>东阳市磁性电子产业发展空间布局图</w:t>
      </w:r>
    </w:p>
    <w:p>
      <w:pPr>
        <w:widowControl/>
        <w:ind w:firstLine="0" w:firstLineChars="0"/>
        <w:jc w:val="left"/>
        <w:rPr>
          <w:rFonts w:ascii="Times New Roman" w:hAnsi="Times New Roman" w:eastAsia="黑体"/>
          <w:kern w:val="2"/>
          <w:szCs w:val="32"/>
        </w:rPr>
      </w:pPr>
      <w:r>
        <w:br w:type="page"/>
      </w:r>
    </w:p>
    <w:p>
      <w:pPr>
        <w:pStyle w:val="2"/>
      </w:pPr>
      <w:bookmarkStart w:id="68" w:name="_Toc475456969"/>
      <w:bookmarkStart w:id="69" w:name="_Toc475457209"/>
      <w:bookmarkStart w:id="70" w:name="_Toc475457348"/>
      <w:r>
        <w:rPr>
          <w:rFonts w:hint="eastAsia"/>
        </w:rPr>
        <w:t>四</w:t>
      </w:r>
      <w:r>
        <w:t>、东阳磁性电子产业发展的主要任务</w:t>
      </w:r>
      <w:bookmarkEnd w:id="68"/>
      <w:bookmarkEnd w:id="69"/>
      <w:bookmarkEnd w:id="70"/>
    </w:p>
    <w:p>
      <w:pPr>
        <w:pStyle w:val="35"/>
        <w:ind w:firstLine="640"/>
        <w:rPr>
          <w:rFonts w:eastAsia="仿宋"/>
        </w:rPr>
      </w:pPr>
      <w:r>
        <w:rPr>
          <w:rFonts w:hint="eastAsia"/>
        </w:rPr>
        <w:t>紧抓中国电子元器件行业协会磁性材料与器件分会落户东阳（浙江）的重大契机，高档永磁铁氧体和软磁被列入工信部新材料产业扶持目录机遇</w:t>
      </w:r>
      <w:r>
        <w:t>，</w:t>
      </w:r>
      <w:r>
        <w:rPr>
          <w:rFonts w:hint="eastAsia"/>
        </w:rPr>
        <w:t>通过强化产业平台能级、严把招商选资门槛，着力打造技术创新引领、智造全国领先、产品全球知名、企业享誉全球的磁性电子产业集群。</w:t>
      </w:r>
    </w:p>
    <w:p>
      <w:pPr>
        <w:pStyle w:val="3"/>
        <w:rPr>
          <w:shd w:val="clear" w:color="auto" w:fill="auto"/>
        </w:rPr>
      </w:pPr>
      <w:bookmarkStart w:id="71" w:name="_Toc475456970"/>
      <w:bookmarkStart w:id="72" w:name="_Toc475457210"/>
      <w:bookmarkStart w:id="73" w:name="_Toc475457349"/>
      <w:r>
        <w:rPr>
          <w:rFonts w:hint="eastAsia"/>
          <w:shd w:val="clear" w:color="auto" w:fill="auto"/>
        </w:rPr>
        <w:t>（一）强化创新引领，提升</w:t>
      </w:r>
      <w:r>
        <w:rPr>
          <w:shd w:val="clear" w:color="auto" w:fill="auto"/>
        </w:rPr>
        <w:t>技术</w:t>
      </w:r>
      <w:r>
        <w:rPr>
          <w:rFonts w:hint="eastAsia"/>
          <w:shd w:val="clear" w:color="auto" w:fill="auto"/>
        </w:rPr>
        <w:t>水平</w:t>
      </w:r>
      <w:bookmarkEnd w:id="71"/>
      <w:bookmarkEnd w:id="72"/>
      <w:bookmarkEnd w:id="73"/>
    </w:p>
    <w:p>
      <w:pPr>
        <w:pStyle w:val="4"/>
        <w:rPr>
          <w:shd w:val="clear" w:color="auto" w:fill="auto"/>
        </w:rPr>
      </w:pPr>
      <w:bookmarkStart w:id="74" w:name="_Toc465348280"/>
      <w:bookmarkStart w:id="75" w:name="_Toc475456971"/>
      <w:bookmarkStart w:id="76" w:name="_Toc467576766"/>
      <w:r>
        <w:rPr>
          <w:rFonts w:hint="eastAsia"/>
          <w:shd w:val="clear" w:color="auto" w:fill="auto"/>
        </w:rPr>
        <w:t>1</w:t>
      </w:r>
      <w:r>
        <w:rPr>
          <w:shd w:val="clear" w:color="auto" w:fill="auto"/>
        </w:rPr>
        <w:t>、推进核心技术攻关</w:t>
      </w:r>
      <w:bookmarkEnd w:id="74"/>
      <w:bookmarkEnd w:id="75"/>
      <w:bookmarkEnd w:id="76"/>
    </w:p>
    <w:p>
      <w:pPr>
        <w:pStyle w:val="35"/>
      </w:pPr>
      <w:r>
        <w:rPr>
          <w:rFonts w:hint="eastAsia"/>
          <w:b/>
        </w:rPr>
        <w:t>一是加快实施一批重大科技项目。</w:t>
      </w:r>
      <w:r>
        <w:rPr>
          <w:rFonts w:hint="eastAsia"/>
        </w:rPr>
        <w:t>加强“四基”创新能力建设，重点突破高性能磁性材料配方研制和烧结、粘结等加工工艺。围绕磁性材料和电机、照明、电声等电子元器件重点领域，支持企业参与国家、省级科技重大专项，重点攻克一批关键共性技术、工艺及装备，掌握一批具有自主知识产权的核心技术。</w:t>
      </w:r>
      <w:r>
        <w:rPr>
          <w:rFonts w:hint="eastAsia"/>
          <w:b/>
        </w:rPr>
        <w:t>二是鼓励企业加大科技研发投入。</w:t>
      </w:r>
      <w:r>
        <w:rPr>
          <w:rFonts w:hint="eastAsia"/>
        </w:rPr>
        <w:t>落实企业研究开发费用税前扣除等国家政策，激发企业的创新活力。改变科技投入扶持方式，探索建立企业重大科技攻关风险补偿机制，提高企业承担开发失败风险能力。支持企业依托各类创新载体开展技术引进、消化和再创新，大力鼓励企业开展进口替代产品的研发。</w:t>
      </w:r>
      <w:r>
        <w:rPr>
          <w:rFonts w:hint="eastAsia"/>
          <w:b/>
        </w:rPr>
        <w:t>三是加大</w:t>
      </w:r>
      <w:r>
        <w:rPr>
          <w:b/>
        </w:rPr>
        <w:t>知识产权保护力度</w:t>
      </w:r>
      <w:r>
        <w:rPr>
          <w:rFonts w:hint="eastAsia"/>
          <w:b/>
        </w:rPr>
        <w:t>。</w:t>
      </w:r>
      <w:r>
        <w:rPr>
          <w:rFonts w:hint="eastAsia"/>
        </w:rPr>
        <w:t>提高知识产权审查的质量和审查效率，进一步提高磁性</w:t>
      </w:r>
      <w:r>
        <w:t>电子</w:t>
      </w:r>
      <w:r>
        <w:rPr>
          <w:rFonts w:hint="eastAsia"/>
        </w:rPr>
        <w:t>产业知识产权权利的稳定性和授权的及时性，从源头上保护好知识产权。建立知识产权运用平台，规范</w:t>
      </w:r>
      <w:r>
        <w:t>知识产权转化市场，</w:t>
      </w:r>
      <w:r>
        <w:rPr>
          <w:rFonts w:hint="eastAsia"/>
        </w:rPr>
        <w:t>鼓励通过技术</w:t>
      </w:r>
      <w:r>
        <w:t>转让</w:t>
      </w:r>
      <w:r>
        <w:rPr>
          <w:rFonts w:hint="eastAsia"/>
        </w:rPr>
        <w:t>、</w:t>
      </w:r>
      <w:r>
        <w:t>技术入股</w:t>
      </w:r>
      <w:r>
        <w:rPr>
          <w:rFonts w:hint="eastAsia"/>
        </w:rPr>
        <w:t>等</w:t>
      </w:r>
      <w:r>
        <w:t>方式推进知识产权</w:t>
      </w:r>
      <w:r>
        <w:rPr>
          <w:rFonts w:hint="eastAsia"/>
        </w:rPr>
        <w:t>转化</w:t>
      </w:r>
      <w:r>
        <w:t>。</w:t>
      </w:r>
    </w:p>
    <w:p>
      <w:pPr>
        <w:pStyle w:val="4"/>
        <w:rPr>
          <w:shd w:val="clear" w:color="auto" w:fill="auto"/>
        </w:rPr>
      </w:pPr>
      <w:bookmarkStart w:id="77" w:name="_Toc465348281"/>
      <w:bookmarkStart w:id="78" w:name="_Toc467576767"/>
      <w:bookmarkStart w:id="79" w:name="_Toc475456972"/>
      <w:r>
        <w:rPr>
          <w:rFonts w:hint="eastAsia"/>
          <w:shd w:val="clear" w:color="auto" w:fill="auto"/>
        </w:rPr>
        <w:t>2、创建高水平研发机构</w:t>
      </w:r>
      <w:bookmarkEnd w:id="77"/>
      <w:bookmarkEnd w:id="78"/>
      <w:bookmarkEnd w:id="79"/>
    </w:p>
    <w:p>
      <w:pPr>
        <w:pStyle w:val="35"/>
      </w:pPr>
      <w:r>
        <w:rPr>
          <w:rFonts w:hint="eastAsia"/>
          <w:b/>
        </w:rPr>
        <w:t>一是引导和鼓励企业建立研发机构和技术中心。</w:t>
      </w:r>
      <w:r>
        <w:t>充分发挥“国家火炬计划”对东阳磁性电子产业的引导作用，</w:t>
      </w:r>
      <w:r>
        <w:rPr>
          <w:rFonts w:hint="eastAsia"/>
        </w:rPr>
        <w:t>鼓励</w:t>
      </w:r>
      <w:r>
        <w:t>具有技术先导能力的骨干企业发挥带头作用，</w:t>
      </w:r>
      <w:r>
        <w:rPr>
          <w:rFonts w:hint="eastAsia"/>
        </w:rPr>
        <w:t>创建重点企业研究、工程技术中心等高水平研发机构，建立中国磁性材料产业技术引导平台，开展技术攻关和储备，</w:t>
      </w:r>
      <w:r>
        <w:t>促进产业转型升级。</w:t>
      </w:r>
      <w:r>
        <w:rPr>
          <w:rFonts w:hint="eastAsia"/>
          <w:b/>
        </w:rPr>
        <w:t>二是大力创建“众创空间”。</w:t>
      </w:r>
      <w:r>
        <w:rPr>
          <w:rFonts w:hint="eastAsia"/>
        </w:rPr>
        <w:t>筹建“众创空间”，更加注重对科技孵化中心、磁性材料科技创新服务中心进行升级更新，发挥各类创业园的平台作用，构建“初创在孵化器、跃升在创业园、壮大在工业园”的科技企业成长形态与格局。</w:t>
      </w:r>
    </w:p>
    <w:p>
      <w:pPr>
        <w:pStyle w:val="4"/>
        <w:rPr>
          <w:shd w:val="clear" w:color="auto" w:fill="auto"/>
        </w:rPr>
      </w:pPr>
      <w:bookmarkStart w:id="80" w:name="_Toc465348282"/>
      <w:bookmarkStart w:id="81" w:name="_Toc467576768"/>
      <w:bookmarkStart w:id="82" w:name="_Toc475456973"/>
      <w:r>
        <w:rPr>
          <w:rFonts w:hint="eastAsia"/>
          <w:shd w:val="clear" w:color="auto" w:fill="auto"/>
        </w:rPr>
        <w:t>3、构建协同创新体系</w:t>
      </w:r>
      <w:bookmarkEnd w:id="80"/>
      <w:bookmarkEnd w:id="81"/>
      <w:bookmarkEnd w:id="82"/>
    </w:p>
    <w:p>
      <w:pPr>
        <w:pStyle w:val="35"/>
      </w:pPr>
      <w:r>
        <w:rPr>
          <w:rFonts w:hint="eastAsia"/>
          <w:b/>
        </w:rPr>
        <w:t>一是建立产学研用相结合的战略联盟。</w:t>
      </w:r>
      <w:r>
        <w:rPr>
          <w:rFonts w:hint="eastAsia"/>
        </w:rPr>
        <w:t>支持企业加强与浙江大学、中科院宁波材料所等高校院所开展合作，共建研发机构和科技成果转化基地，提高辐射带动力和创新要素集聚力，完善公共技术服务平台，着力提升技术创新能力和科技成果转化水平。</w:t>
      </w:r>
      <w:r>
        <w:rPr>
          <w:rFonts w:hint="eastAsia"/>
          <w:b/>
        </w:rPr>
        <w:t>二是创新海外技术合作方式。</w:t>
      </w:r>
      <w:r>
        <w:rPr>
          <w:rFonts w:hint="eastAsia"/>
        </w:rPr>
        <w:t>鼓励和支持大中型磁性电子企业到海外设立、兼并和收购研发机构，引进和利用国外技术资源，充分利用跨国公司的成熟技术和先进的开发手段，加强与国际科研机构和研发公司合作，引进技术或联合开发，大力培养自有的科技人才队伍，推动企业核心研发能力的快速提升。</w:t>
      </w:r>
      <w:r>
        <w:rPr>
          <w:rFonts w:hint="eastAsia"/>
          <w:b/>
        </w:rPr>
        <w:t>三是创建产业发展联盟。</w:t>
      </w:r>
      <w:r>
        <w:rPr>
          <w:rFonts w:hint="eastAsia"/>
        </w:rPr>
        <w:t>以企业自愿、优势互补、合作互惠、共同发展为原则，鼓励企业围绕优势产品开发、关键共性技术攻关组建产业发展联盟，以实现龙头带动、抱团发展，增强东阳磁性电子产业在原材料采购、产品销售、技术标准等方面的话语权。</w:t>
      </w:r>
    </w:p>
    <w:p>
      <w:pPr>
        <w:pStyle w:val="3"/>
        <w:rPr>
          <w:shd w:val="clear" w:color="auto" w:fill="auto"/>
        </w:rPr>
      </w:pPr>
      <w:bookmarkStart w:id="83" w:name="_Toc475457350"/>
      <w:bookmarkStart w:id="84" w:name="_Toc475457211"/>
      <w:bookmarkStart w:id="85" w:name="_Toc475456974"/>
      <w:r>
        <w:rPr>
          <w:rFonts w:hint="eastAsia"/>
          <w:shd w:val="clear" w:color="auto" w:fill="auto"/>
        </w:rPr>
        <w:t>（二）推行</w:t>
      </w:r>
      <w:r>
        <w:rPr>
          <w:shd w:val="clear" w:color="auto" w:fill="auto"/>
        </w:rPr>
        <w:t>智能制造</w:t>
      </w:r>
      <w:r>
        <w:rPr>
          <w:rFonts w:hint="eastAsia"/>
          <w:shd w:val="clear" w:color="auto" w:fill="auto"/>
        </w:rPr>
        <w:t>，提升生产水平</w:t>
      </w:r>
      <w:bookmarkEnd w:id="83"/>
      <w:bookmarkEnd w:id="84"/>
      <w:bookmarkEnd w:id="85"/>
    </w:p>
    <w:p>
      <w:pPr>
        <w:pStyle w:val="4"/>
        <w:rPr>
          <w:shd w:val="clear" w:color="auto" w:fill="auto"/>
        </w:rPr>
      </w:pPr>
      <w:bookmarkStart w:id="86" w:name="_Toc465348284"/>
      <w:bookmarkStart w:id="87" w:name="_Toc467576770"/>
      <w:bookmarkStart w:id="88" w:name="_Toc475456975"/>
      <w:r>
        <w:rPr>
          <w:rFonts w:hint="eastAsia"/>
          <w:shd w:val="clear" w:color="auto" w:fill="auto"/>
        </w:rPr>
        <w:t>1、加强网络基础设施建设</w:t>
      </w:r>
      <w:bookmarkEnd w:id="86"/>
      <w:bookmarkEnd w:id="87"/>
      <w:bookmarkEnd w:id="88"/>
    </w:p>
    <w:p>
      <w:pPr>
        <w:pStyle w:val="35"/>
      </w:pPr>
      <w:r>
        <w:rPr>
          <w:rFonts w:hint="eastAsia"/>
          <w:b/>
        </w:rPr>
        <w:t>一</w:t>
      </w:r>
      <w:r>
        <w:rPr>
          <w:b/>
        </w:rPr>
        <w:t>是</w:t>
      </w:r>
      <w:r>
        <w:rPr>
          <w:rFonts w:hint="eastAsia"/>
          <w:b/>
        </w:rPr>
        <w:t>推进智慧</w:t>
      </w:r>
      <w:r>
        <w:rPr>
          <w:b/>
        </w:rPr>
        <w:t>园区</w:t>
      </w:r>
      <w:r>
        <w:rPr>
          <w:rFonts w:hint="eastAsia"/>
          <w:b/>
        </w:rPr>
        <w:t>建设</w:t>
      </w:r>
      <w:r>
        <w:rPr>
          <w:b/>
        </w:rPr>
        <w:t>。</w:t>
      </w:r>
      <w:r>
        <w:rPr>
          <w:rFonts w:hint="eastAsia"/>
        </w:rPr>
        <w:t>加快三网融合，加强江北新区互联网基础设施建设规划与布局，推进横店电子产业园区和磁性材料工业功能区等磁性电子工业集聚区光纤网、移动通信网和无线局域网的合理部署和建设，为企业开展机联网、厂联网等高水平智能制造提供基础，打造智能制造园区</w:t>
      </w:r>
      <w:r>
        <w:t>。</w:t>
      </w:r>
      <w:r>
        <w:rPr>
          <w:rFonts w:hint="eastAsia"/>
          <w:b/>
        </w:rPr>
        <w:t>二</w:t>
      </w:r>
      <w:r>
        <w:rPr>
          <w:b/>
        </w:rPr>
        <w:t>是推进“两化”融合示范区建设。</w:t>
      </w:r>
      <w:r>
        <w:t>重点推进</w:t>
      </w:r>
      <w:r>
        <w:rPr>
          <w:rFonts w:hint="eastAsia"/>
        </w:rPr>
        <w:t>东阳</w:t>
      </w:r>
      <w:r>
        <w:t>市省级“两化”深度融合</w:t>
      </w:r>
      <w:r>
        <w:rPr>
          <w:rFonts w:hint="eastAsia"/>
        </w:rPr>
        <w:t>国家</w:t>
      </w:r>
      <w:r>
        <w:t>综合性示范区建设，启动智慧园区试点。打造“两化”融合管理体系贯标示范试点，培育总部型企业“两化”融合示范。</w:t>
      </w:r>
    </w:p>
    <w:p>
      <w:pPr>
        <w:pStyle w:val="4"/>
        <w:rPr>
          <w:shd w:val="clear" w:color="auto" w:fill="auto"/>
        </w:rPr>
      </w:pPr>
      <w:bookmarkStart w:id="89" w:name="_Toc465348285"/>
      <w:bookmarkStart w:id="90" w:name="_Toc475456976"/>
      <w:bookmarkStart w:id="91" w:name="_Toc467576771"/>
      <w:r>
        <w:rPr>
          <w:shd w:val="clear" w:color="auto" w:fill="auto"/>
        </w:rPr>
        <w:t>2、开展智能制造试点示范</w:t>
      </w:r>
      <w:bookmarkEnd w:id="89"/>
      <w:bookmarkEnd w:id="90"/>
      <w:bookmarkEnd w:id="91"/>
    </w:p>
    <w:p>
      <w:pPr>
        <w:pStyle w:val="35"/>
      </w:pPr>
      <w:r>
        <w:rPr>
          <w:rFonts w:hint="eastAsia"/>
          <w:b/>
        </w:rPr>
        <w:t>一</w:t>
      </w:r>
      <w:r>
        <w:rPr>
          <w:b/>
        </w:rPr>
        <w:t>是加强智能制造试点建设。</w:t>
      </w:r>
      <w:r>
        <w:rPr>
          <w:rFonts w:hint="eastAsia"/>
        </w:rPr>
        <w:t>以“机器人用伺服电机智能制造新模式应用”和“高性能永磁磁瓦智能化生产工厂示范”两个省级智能制造新模式应用试点建设为重点</w:t>
      </w:r>
      <w:r>
        <w:rPr>
          <w:rStyle w:val="20"/>
        </w:rPr>
        <w:footnoteReference w:id="0"/>
      </w:r>
      <w:r>
        <w:rPr>
          <w:rFonts w:hint="eastAsia"/>
        </w:rPr>
        <w:t>，集中资源重点培育一批自主创新能力强、主业突出、产品市场前景好、对产业带动作用大的智能制造大型骨干企业。</w:t>
      </w:r>
      <w:r>
        <w:rPr>
          <w:rFonts w:hint="eastAsia"/>
          <w:b/>
        </w:rPr>
        <w:t>二</w:t>
      </w:r>
      <w:r>
        <w:rPr>
          <w:b/>
        </w:rPr>
        <w:t>是加强“机器换人”试点建设。</w:t>
      </w:r>
      <w:r>
        <w:rPr>
          <w:rFonts w:hint="eastAsia"/>
        </w:rPr>
        <w:t>根据</w:t>
      </w:r>
      <w:r>
        <w:t>“机器换人”</w:t>
      </w:r>
      <w:r>
        <w:rPr>
          <w:rFonts w:hint="eastAsia"/>
        </w:rPr>
        <w:t>分行业推进工作方案的要求，</w:t>
      </w:r>
      <w:r>
        <w:t>按照“分类指导、典型示范、政策扶持、机制保障”</w:t>
      </w:r>
      <w:r>
        <w:rPr>
          <w:rFonts w:hint="eastAsia"/>
        </w:rPr>
        <w:t>的</w:t>
      </w:r>
      <w:r>
        <w:t>工作思路，</w:t>
      </w:r>
      <w:r>
        <w:rPr>
          <w:rFonts w:hint="eastAsia"/>
        </w:rPr>
        <w:t>高标准、高质量的推进磁性材料行业“机器换人”工作。</w:t>
      </w:r>
      <w:r>
        <w:t>通过示范推广、技术对接，推进龙头企业、</w:t>
      </w:r>
      <w:r>
        <w:rPr>
          <w:rFonts w:hint="eastAsia"/>
        </w:rPr>
        <w:t>整合行业</w:t>
      </w:r>
      <w:r>
        <w:t>智能制造水平大幅提升</w:t>
      </w:r>
      <w:r>
        <w:rPr>
          <w:rFonts w:hint="eastAsia"/>
        </w:rPr>
        <w:t>；推进</w:t>
      </w:r>
      <w:r>
        <w:t>一批智能工厂示范样板建设，加快智能制造普及。</w:t>
      </w:r>
    </w:p>
    <w:p>
      <w:pPr>
        <w:pStyle w:val="4"/>
        <w:rPr>
          <w:shd w:val="clear" w:color="auto" w:fill="auto"/>
        </w:rPr>
      </w:pPr>
      <w:bookmarkStart w:id="92" w:name="_Toc467576772"/>
      <w:bookmarkStart w:id="93" w:name="_Toc465348286"/>
      <w:bookmarkStart w:id="94" w:name="_Toc475456977"/>
      <w:r>
        <w:rPr>
          <w:rFonts w:hint="eastAsia"/>
          <w:shd w:val="clear" w:color="auto" w:fill="auto"/>
        </w:rPr>
        <w:t>3</w:t>
      </w:r>
      <w:r>
        <w:rPr>
          <w:shd w:val="clear" w:color="auto" w:fill="auto"/>
        </w:rPr>
        <w:t>、</w:t>
      </w:r>
      <w:r>
        <w:rPr>
          <w:rFonts w:hint="eastAsia"/>
          <w:shd w:val="clear" w:color="auto" w:fill="auto"/>
        </w:rPr>
        <w:t>拓展企业生产运营</w:t>
      </w:r>
      <w:bookmarkEnd w:id="92"/>
      <w:bookmarkEnd w:id="93"/>
      <w:r>
        <w:rPr>
          <w:rFonts w:hint="eastAsia"/>
          <w:shd w:val="clear" w:color="auto" w:fill="auto"/>
        </w:rPr>
        <w:t>模式</w:t>
      </w:r>
      <w:bookmarkEnd w:id="94"/>
    </w:p>
    <w:p>
      <w:pPr>
        <w:pStyle w:val="35"/>
      </w:pPr>
      <w:r>
        <w:rPr>
          <w:b/>
        </w:rPr>
        <w:t>一是</w:t>
      </w:r>
      <w:r>
        <w:rPr>
          <w:rFonts w:hint="eastAsia"/>
          <w:b/>
        </w:rPr>
        <w:t>推行</w:t>
      </w:r>
      <w:r>
        <w:rPr>
          <w:b/>
        </w:rPr>
        <w:t>“互联网+”协同制造</w:t>
      </w:r>
      <w:r>
        <w:rPr>
          <w:rFonts w:hint="eastAsia"/>
          <w:b/>
        </w:rPr>
        <w:t>模式</w:t>
      </w:r>
      <w:r>
        <w:rPr>
          <w:b/>
        </w:rPr>
        <w:t>。</w:t>
      </w:r>
      <w:r>
        <w:t>推进工业互联网的融合创新发展，引导互联网的创新基因注入</w:t>
      </w:r>
      <w:r>
        <w:rPr>
          <w:rFonts w:hint="eastAsia"/>
        </w:rPr>
        <w:t>磁性电子</w:t>
      </w:r>
      <w:r>
        <w:t>领域，加快开展物联网技术研发和应用示范，培育智能监测、全产业链追溯等工业互联网新应用。加快应用“互联网+”协同制造模式，发展基于互联网的</w:t>
      </w:r>
      <w:r>
        <w:rPr>
          <w:rFonts w:hint="eastAsia"/>
        </w:rPr>
        <w:t>个性化定制、</w:t>
      </w:r>
      <w:r>
        <w:t>众包设计、云制造等新型制造模式，推动形成基于消费需求动态感知的研发、制造和产业组织方式。</w:t>
      </w:r>
      <w:r>
        <w:rPr>
          <w:rFonts w:hint="eastAsia"/>
          <w:b/>
        </w:rPr>
        <w:t>二</w:t>
      </w:r>
      <w:r>
        <w:rPr>
          <w:b/>
        </w:rPr>
        <w:t>是</w:t>
      </w:r>
      <w:r>
        <w:rPr>
          <w:rFonts w:hint="eastAsia"/>
          <w:b/>
        </w:rPr>
        <w:t>推行</w:t>
      </w:r>
      <w:r>
        <w:rPr>
          <w:b/>
        </w:rPr>
        <w:t>“互联网+”</w:t>
      </w:r>
      <w:r>
        <w:rPr>
          <w:rFonts w:hint="eastAsia"/>
          <w:b/>
        </w:rPr>
        <w:t>协同管理模式。</w:t>
      </w:r>
      <w:r>
        <w:rPr>
          <w:rFonts w:hint="eastAsia"/>
        </w:rPr>
        <w:t>鼓励企业引进或开发基于互联网的协同管理平台，整合企业、员工、客户及合作伙伴之间的各种信息，打通相互之间数据交互、信息共享，实现事务的大协同；充分借助移动互联技术帮助磁性电子企业更好的打造业务应用的移动化、协同化和云端化，让员工更多地利用碎片化时间，随时随地处理工作事务，提升管理水平和企业价值。</w:t>
      </w:r>
    </w:p>
    <w:p>
      <w:pPr>
        <w:pStyle w:val="3"/>
        <w:rPr>
          <w:shd w:val="clear" w:color="auto" w:fill="auto"/>
        </w:rPr>
      </w:pPr>
      <w:bookmarkStart w:id="95" w:name="_Toc475456978"/>
      <w:bookmarkStart w:id="96" w:name="_Toc475457351"/>
      <w:bookmarkStart w:id="97" w:name="_Toc475457212"/>
      <w:r>
        <w:rPr>
          <w:rFonts w:hint="eastAsia"/>
          <w:shd w:val="clear" w:color="auto" w:fill="auto"/>
        </w:rPr>
        <w:t>（三）推进</w:t>
      </w:r>
      <w:r>
        <w:rPr>
          <w:shd w:val="clear" w:color="auto" w:fill="auto"/>
        </w:rPr>
        <w:t>企业</w:t>
      </w:r>
      <w:r>
        <w:rPr>
          <w:rFonts w:hint="eastAsia"/>
          <w:shd w:val="clear" w:color="auto" w:fill="auto"/>
        </w:rPr>
        <w:t>培育，提升核心竞争力</w:t>
      </w:r>
      <w:bookmarkEnd w:id="95"/>
      <w:bookmarkEnd w:id="96"/>
      <w:bookmarkEnd w:id="97"/>
    </w:p>
    <w:p>
      <w:pPr>
        <w:pStyle w:val="4"/>
        <w:rPr>
          <w:shd w:val="clear" w:color="auto" w:fill="auto"/>
        </w:rPr>
      </w:pPr>
      <w:bookmarkStart w:id="98" w:name="_Toc465348288"/>
      <w:bookmarkStart w:id="99" w:name="_Toc467576774"/>
      <w:bookmarkStart w:id="100" w:name="_Toc475456979"/>
      <w:r>
        <w:rPr>
          <w:rFonts w:hint="eastAsia"/>
          <w:shd w:val="clear" w:color="auto" w:fill="auto"/>
        </w:rPr>
        <w:t>1、实施企业梯队培育</w:t>
      </w:r>
      <w:bookmarkEnd w:id="98"/>
      <w:bookmarkEnd w:id="99"/>
      <w:bookmarkEnd w:id="100"/>
    </w:p>
    <w:p>
      <w:pPr>
        <w:pStyle w:val="35"/>
      </w:pPr>
      <w:r>
        <w:rPr>
          <w:rFonts w:hint="eastAsia"/>
          <w:b/>
        </w:rPr>
        <w:t>一是培育一批国际化领军企业。</w:t>
      </w:r>
      <w:r>
        <w:rPr>
          <w:rFonts w:hint="eastAsia"/>
        </w:rPr>
        <w:t>以横店东磁、英洛华磁业等龙头骨干企业为引领，针对企业不同发展阶段，强化需求导向、优化资源配置，引导其向专业化生产、精细化管理、自主化创新、国际化经营方向发展，充分发挥其在主业领域的示范作用。力争到2020年，磁性电子产业实现主营业务收入超百亿元企业1家，超20亿元企业2家。</w:t>
      </w:r>
      <w:r>
        <w:rPr>
          <w:rFonts w:hint="eastAsia"/>
          <w:b/>
        </w:rPr>
        <w:t>二是培育一批高成长型企业。</w:t>
      </w:r>
      <w:r>
        <w:rPr>
          <w:rFonts w:hint="eastAsia"/>
        </w:rPr>
        <w:t>以英洛华磁业、凯文磁钢、联宜电机、全方音响等高成长型企业为主体，鼓励企业围绕主业走“专、精、特、新”发展之路，加快形成一批具有国际竞争力的“隐形冠军”，提升在全球价值链中的地位。</w:t>
      </w:r>
      <w:r>
        <w:rPr>
          <w:rFonts w:hint="eastAsia"/>
          <w:b/>
        </w:rPr>
        <w:t>三是培育提升一批创新型小微企业。</w:t>
      </w:r>
      <w:r>
        <w:rPr>
          <w:rFonts w:hint="eastAsia"/>
        </w:rPr>
        <w:t>紧紧围绕推动大众创业、万众创新，优选一批科技型、创新型小微企业“上规”发展，激发小微企业创业创新的活力和动力。大力推进小微企业公共服务平台建设，利用大数据、云计算等现代信息技术，推进小微企业信用信息共享，为小微企业免费提供管理指导、技能培训、市场开拓、标准咨询、检验检测认证等服务。</w:t>
      </w:r>
    </w:p>
    <w:p>
      <w:pPr>
        <w:pStyle w:val="4"/>
        <w:rPr>
          <w:shd w:val="clear" w:color="auto" w:fill="auto"/>
        </w:rPr>
      </w:pPr>
      <w:bookmarkStart w:id="101" w:name="_Toc475456980"/>
      <w:bookmarkStart w:id="102" w:name="_Toc467576775"/>
      <w:bookmarkStart w:id="103" w:name="_Toc465348289"/>
      <w:r>
        <w:rPr>
          <w:shd w:val="clear" w:color="auto" w:fill="auto"/>
        </w:rPr>
        <w:t>2、提</w:t>
      </w:r>
      <w:r>
        <w:rPr>
          <w:rFonts w:hint="eastAsia"/>
          <w:shd w:val="clear" w:color="auto" w:fill="auto"/>
        </w:rPr>
        <w:t>升</w:t>
      </w:r>
      <w:r>
        <w:rPr>
          <w:shd w:val="clear" w:color="auto" w:fill="auto"/>
        </w:rPr>
        <w:t>企业管理</w:t>
      </w:r>
      <w:r>
        <w:rPr>
          <w:rFonts w:hint="eastAsia"/>
          <w:shd w:val="clear" w:color="auto" w:fill="auto"/>
        </w:rPr>
        <w:t>水平</w:t>
      </w:r>
      <w:bookmarkEnd w:id="101"/>
      <w:bookmarkEnd w:id="102"/>
      <w:bookmarkEnd w:id="103"/>
    </w:p>
    <w:p>
      <w:pPr>
        <w:pStyle w:val="35"/>
      </w:pPr>
      <w:r>
        <w:rPr>
          <w:b/>
        </w:rPr>
        <w:t>一是</w:t>
      </w:r>
      <w:r>
        <w:rPr>
          <w:rFonts w:hint="eastAsia"/>
          <w:b/>
        </w:rPr>
        <w:t>推进企业建立现代企业制度</w:t>
      </w:r>
      <w:r>
        <w:rPr>
          <w:b/>
        </w:rPr>
        <w:t>。</w:t>
      </w:r>
      <w:r>
        <w:t>加快企业股份制企业改造，加快股份制企业在境内外上市、新三板及区域性股权交易市场挂牌，支持上市挂牌公司并购重组、资本运作，做大做强资本市场</w:t>
      </w:r>
      <w:r>
        <w:rPr>
          <w:rFonts w:hint="eastAsia"/>
        </w:rPr>
        <w:t>东阳</w:t>
      </w:r>
      <w:r>
        <w:t>板块</w:t>
      </w:r>
      <w:r>
        <w:rPr>
          <w:rFonts w:hint="eastAsia"/>
        </w:rPr>
        <w:t>，带动全行业规范化运作水平</w:t>
      </w:r>
      <w:r>
        <w:t>。</w:t>
      </w:r>
      <w:r>
        <w:rPr>
          <w:b/>
        </w:rPr>
        <w:t>二是</w:t>
      </w:r>
      <w:r>
        <w:rPr>
          <w:rFonts w:hint="eastAsia"/>
          <w:b/>
        </w:rPr>
        <w:t>提升企业管理水平</w:t>
      </w:r>
      <w:r>
        <w:rPr>
          <w:b/>
        </w:rPr>
        <w:t>。</w:t>
      </w:r>
      <w:r>
        <w:t>加快管理信息系统等应用，</w:t>
      </w:r>
      <w:r>
        <w:rPr>
          <w:rFonts w:hint="eastAsia"/>
        </w:rPr>
        <w:t>全面推行以企业资源计划管理、供应链管理、客户关系管理等为重点的信息化管理。加快推行以柔性制造、准时制生产、仓储智能化等为重点的精细化管理，推进卓越绩效管理</w:t>
      </w:r>
      <w:r>
        <w:t>，提升企业经营管理水平</w:t>
      </w:r>
      <w:r>
        <w:rPr>
          <w:rFonts w:hint="eastAsia"/>
        </w:rPr>
        <w:t>。</w:t>
      </w:r>
    </w:p>
    <w:p>
      <w:pPr>
        <w:pStyle w:val="4"/>
        <w:rPr>
          <w:shd w:val="clear" w:color="auto" w:fill="auto"/>
        </w:rPr>
      </w:pPr>
      <w:bookmarkStart w:id="104" w:name="_Toc475456981"/>
      <w:bookmarkStart w:id="105" w:name="_Toc465348290"/>
      <w:bookmarkStart w:id="106" w:name="_Toc467576776"/>
      <w:r>
        <w:rPr>
          <w:shd w:val="clear" w:color="auto" w:fill="auto"/>
        </w:rPr>
        <w:t>3、提</w:t>
      </w:r>
      <w:r>
        <w:rPr>
          <w:rFonts w:hint="eastAsia"/>
          <w:shd w:val="clear" w:color="auto" w:fill="auto"/>
        </w:rPr>
        <w:t>高</w:t>
      </w:r>
      <w:r>
        <w:rPr>
          <w:shd w:val="clear" w:color="auto" w:fill="auto"/>
        </w:rPr>
        <w:t>企业家素质</w:t>
      </w:r>
      <w:bookmarkEnd w:id="104"/>
      <w:bookmarkEnd w:id="105"/>
      <w:bookmarkEnd w:id="106"/>
    </w:p>
    <w:p>
      <w:pPr>
        <w:pStyle w:val="35"/>
      </w:pPr>
      <w:r>
        <w:rPr>
          <w:b/>
        </w:rPr>
        <w:t>一是健全企业家培育梯队。</w:t>
      </w:r>
      <w:r>
        <w:t>实施企业家素质提升工程，对企业家开展分领域、分层次、多形式的培训，培养一批具有全球化视野的高素质企业家；健全新生代企业家培养工作机制，构建新生代企业家联系服务机制，促进新生代企业家健康成长，做好民营企业家代际传承。</w:t>
      </w:r>
      <w:r>
        <w:rPr>
          <w:b/>
        </w:rPr>
        <w:t>二是建设高层次经营管理人才队伍。</w:t>
      </w:r>
      <w:r>
        <w:t>着力优化成长环境，完善高端人才引育机制，建设高素质队伍；引进高层次经营管理人才，培养高水平职业经理人，创新激励机制</w:t>
      </w:r>
      <w:r>
        <w:rPr>
          <w:rFonts w:hint="eastAsia"/>
        </w:rPr>
        <w:t>，激发管理人员</w:t>
      </w:r>
      <w:r>
        <w:t>工作热情</w:t>
      </w:r>
      <w:r>
        <w:rPr>
          <w:rFonts w:hint="eastAsia"/>
        </w:rPr>
        <w:t>和</w:t>
      </w:r>
      <w:r>
        <w:t>潜力。</w:t>
      </w:r>
    </w:p>
    <w:p>
      <w:pPr>
        <w:pStyle w:val="3"/>
        <w:rPr>
          <w:shd w:val="clear" w:color="auto" w:fill="auto"/>
        </w:rPr>
      </w:pPr>
      <w:bookmarkStart w:id="107" w:name="_Toc475457352"/>
      <w:bookmarkStart w:id="108" w:name="_Toc475456982"/>
      <w:bookmarkStart w:id="109" w:name="_Toc475457213"/>
      <w:r>
        <w:rPr>
          <w:rFonts w:hint="eastAsia"/>
          <w:shd w:val="clear" w:color="auto" w:fill="auto"/>
        </w:rPr>
        <w:t>（四）突出标准建设，提升品牌影响力</w:t>
      </w:r>
      <w:bookmarkEnd w:id="107"/>
      <w:bookmarkEnd w:id="108"/>
      <w:bookmarkEnd w:id="109"/>
    </w:p>
    <w:p>
      <w:pPr>
        <w:pStyle w:val="4"/>
        <w:rPr>
          <w:shd w:val="clear" w:color="auto" w:fill="auto"/>
        </w:rPr>
      </w:pPr>
      <w:bookmarkStart w:id="110" w:name="_Toc475456983"/>
      <w:bookmarkStart w:id="111" w:name="_Toc467576778"/>
      <w:bookmarkStart w:id="112" w:name="_Toc465348292"/>
      <w:r>
        <w:rPr>
          <w:shd w:val="clear" w:color="auto" w:fill="auto"/>
        </w:rPr>
        <w:t>1、全面提升标准水平</w:t>
      </w:r>
      <w:bookmarkEnd w:id="110"/>
    </w:p>
    <w:p>
      <w:pPr>
        <w:pStyle w:val="35"/>
      </w:pPr>
      <w:r>
        <w:rPr>
          <w:rFonts w:hint="eastAsia"/>
          <w:b/>
        </w:rPr>
        <w:t>一是支持企业参与国际标准、国内标准制（修）订。</w:t>
      </w:r>
      <w:r>
        <w:rPr>
          <w:rFonts w:hint="eastAsia"/>
        </w:rPr>
        <w:t>支持永磁铁氧体、LED照明、电机等龙头企业在各自细分领域的研发、设计、制造、市场、品牌等方面，参与国际标准和国内标准的制（修）订。鼓励企业参与“浙江制造”团体标准的制定，为全国磁性电子企业树立标杆。支持东阳企业主导的标准上升为国家标准，甚至国际标准。</w:t>
      </w:r>
      <w:r>
        <w:rPr>
          <w:rFonts w:hint="eastAsia"/>
          <w:b/>
        </w:rPr>
        <w:t>二是鼓励企业采用先进标准。</w:t>
      </w:r>
      <w:r>
        <w:rPr>
          <w:rFonts w:hint="eastAsia"/>
        </w:rPr>
        <w:t>鼓励和指导企业建立标准化工作机制，建立健全涵盖技术、管理和经营的企业标准体系，鼓励企业采用国际标准和国外先进标准。</w:t>
      </w:r>
    </w:p>
    <w:p>
      <w:pPr>
        <w:pStyle w:val="4"/>
        <w:rPr>
          <w:shd w:val="clear" w:color="auto" w:fill="auto"/>
        </w:rPr>
      </w:pPr>
      <w:bookmarkStart w:id="113" w:name="_Toc475456984"/>
      <w:r>
        <w:rPr>
          <w:shd w:val="clear" w:color="auto" w:fill="auto"/>
        </w:rPr>
        <w:t>2、</w:t>
      </w:r>
      <w:r>
        <w:rPr>
          <w:rFonts w:hint="eastAsia"/>
          <w:shd w:val="clear" w:color="auto" w:fill="auto"/>
        </w:rPr>
        <w:t>大力提升</w:t>
      </w:r>
      <w:r>
        <w:rPr>
          <w:shd w:val="clear" w:color="auto" w:fill="auto"/>
        </w:rPr>
        <w:t>产品质量</w:t>
      </w:r>
      <w:bookmarkEnd w:id="111"/>
      <w:bookmarkEnd w:id="112"/>
      <w:bookmarkEnd w:id="113"/>
    </w:p>
    <w:p>
      <w:pPr>
        <w:pStyle w:val="35"/>
      </w:pPr>
      <w:r>
        <w:rPr>
          <w:rFonts w:hint="eastAsia"/>
          <w:b/>
        </w:rPr>
        <w:t>一是组建磁性材料行业公共检测平台。</w:t>
      </w:r>
      <w:r>
        <w:rPr>
          <w:rFonts w:hint="eastAsia"/>
        </w:rPr>
        <w:t>以横店东磁、英洛华磁业等龙头企业现有检测能力为基础，积极与中国计量学院国家磁性材料及其制品质量监督检验中心、省磁性材料检验检测研究所等机构合作，共建东阳磁性材料检验检测公共服务平台，严把上游磁粉、磁矿等原材料和磁材产品两个环节的“准入——准出”质量关。</w:t>
      </w:r>
      <w:r>
        <w:rPr>
          <w:rFonts w:hint="eastAsia"/>
          <w:b/>
        </w:rPr>
        <w:t>二是举办“磁性电子</w:t>
      </w:r>
      <w:r>
        <w:rPr>
          <w:b/>
        </w:rPr>
        <w:t>产品</w:t>
      </w:r>
      <w:r>
        <w:rPr>
          <w:rFonts w:hint="eastAsia"/>
          <w:b/>
        </w:rPr>
        <w:t>质量提升年”活动。</w:t>
      </w:r>
      <w:r>
        <w:rPr>
          <w:rFonts w:hint="eastAsia"/>
        </w:rPr>
        <w:t>围绕影响磁性电子产品质量的共性难题（如高性能磁性材料配方研制，永磁铁氧体烧结、粘结加工工艺等），制定、实施质量攻关计划，尽快解决制约产品质量提升的突出问题。</w:t>
      </w:r>
      <w:r>
        <w:rPr>
          <w:rFonts w:hint="eastAsia"/>
          <w:b/>
        </w:rPr>
        <w:t>三是提升企业质量管理水平。</w:t>
      </w:r>
      <w:r>
        <w:t>推进企业管理体系认证、强制性认证、自愿性工业产品认证工作。大力推行企业“首席质量官”制度，建立健全生产经营全过程质量安全控制体系。</w:t>
      </w:r>
      <w:r>
        <w:rPr>
          <w:rFonts w:hint="eastAsia"/>
        </w:rPr>
        <w:t>积极组织企业申报“中国质量奖”、浙江省政府质量奖、东阳市市长质量奖。</w:t>
      </w:r>
    </w:p>
    <w:p>
      <w:pPr>
        <w:pStyle w:val="4"/>
        <w:rPr>
          <w:shd w:val="clear" w:color="auto" w:fill="auto"/>
        </w:rPr>
      </w:pPr>
      <w:bookmarkStart w:id="114" w:name="_Toc475456985"/>
      <w:bookmarkStart w:id="115" w:name="_Toc465348294"/>
      <w:bookmarkStart w:id="116" w:name="_Toc467576780"/>
      <w:r>
        <w:rPr>
          <w:rFonts w:hint="eastAsia"/>
          <w:shd w:val="clear" w:color="auto" w:fill="auto"/>
        </w:rPr>
        <w:t>3、增强品牌影响力</w:t>
      </w:r>
      <w:bookmarkEnd w:id="114"/>
      <w:bookmarkEnd w:id="115"/>
      <w:bookmarkEnd w:id="116"/>
    </w:p>
    <w:p>
      <w:pPr>
        <w:pStyle w:val="35"/>
      </w:pPr>
      <w:r>
        <w:rPr>
          <w:rFonts w:hint="eastAsia"/>
          <w:b/>
        </w:rPr>
        <w:t>一是提升磁性材料区域品牌运作能力。</w:t>
      </w:r>
      <w:r>
        <w:rPr>
          <w:rFonts w:hint="eastAsia"/>
        </w:rPr>
        <w:t>在 “东阳磁性材料”被评为省级区域名牌的基础上，进一步通过品牌市场运作等方式提升“中国磁都”的国际影响力，力争成为国内具有绝对竞争优势、国际具有较强影响力的磁性材料产业集群。</w:t>
      </w:r>
      <w:r>
        <w:rPr>
          <w:rFonts w:hint="eastAsia"/>
          <w:b/>
        </w:rPr>
        <w:t>二是加强企业品牌塑造。</w:t>
      </w:r>
      <w:r>
        <w:rPr>
          <w:rFonts w:hint="eastAsia"/>
        </w:rPr>
        <w:t>大力推进电机、照明、电声、波纹管等电子元器件制造企业自主品牌建设，引导企业注重品牌运营，加强品牌保护和宣传，推动企业从产品竞争、价格竞争向质量竞争、品牌竞争转变。支持自主品牌企业“走出去”，鼓励有条件的企业注册国际商标、收购国际品牌，加强品牌整合，推进品牌国际化。</w:t>
      </w:r>
      <w:r>
        <w:rPr>
          <w:rFonts w:hint="eastAsia"/>
          <w:b/>
        </w:rPr>
        <w:t>三是提升品牌保护能力。</w:t>
      </w:r>
      <w:r>
        <w:rPr>
          <w:rFonts w:hint="eastAsia"/>
        </w:rPr>
        <w:t>大力推进品牌保护法制化，加大品牌侵权行为的打击力度，建立企业自我保护、政府依法监管和司法维权保障“三位一体”的品牌保护体系，进一步优化品牌培育的法制环境，切实降低企业品牌维权的难度和成本。</w:t>
      </w:r>
    </w:p>
    <w:p>
      <w:pPr>
        <w:pStyle w:val="3"/>
        <w:rPr>
          <w:shd w:val="clear" w:color="auto" w:fill="auto"/>
        </w:rPr>
      </w:pPr>
      <w:bookmarkStart w:id="117" w:name="_Toc475456986"/>
      <w:bookmarkStart w:id="118" w:name="_Toc475457353"/>
      <w:bookmarkStart w:id="119" w:name="_Toc475457214"/>
      <w:r>
        <w:rPr>
          <w:rFonts w:hint="eastAsia"/>
          <w:shd w:val="clear" w:color="auto" w:fill="auto"/>
        </w:rPr>
        <w:t>（五）重视招商选资，提升产业</w:t>
      </w:r>
      <w:r>
        <w:rPr>
          <w:shd w:val="clear" w:color="auto" w:fill="auto"/>
        </w:rPr>
        <w:t>层次</w:t>
      </w:r>
      <w:bookmarkEnd w:id="117"/>
      <w:bookmarkEnd w:id="118"/>
      <w:bookmarkEnd w:id="119"/>
    </w:p>
    <w:p>
      <w:pPr>
        <w:pStyle w:val="4"/>
        <w:rPr>
          <w:shd w:val="clear" w:color="auto" w:fill="auto"/>
        </w:rPr>
      </w:pPr>
      <w:bookmarkStart w:id="120" w:name="_Toc465348296"/>
      <w:bookmarkStart w:id="121" w:name="_Toc467576782"/>
      <w:bookmarkStart w:id="122" w:name="_Toc475456987"/>
      <w:r>
        <w:rPr>
          <w:shd w:val="clear" w:color="auto" w:fill="auto"/>
        </w:rPr>
        <w:t>1、</w:t>
      </w:r>
      <w:bookmarkEnd w:id="120"/>
      <w:bookmarkEnd w:id="121"/>
      <w:r>
        <w:rPr>
          <w:rFonts w:hint="eastAsia"/>
          <w:shd w:val="clear" w:color="auto" w:fill="auto"/>
        </w:rPr>
        <w:t>优化项目结构</w:t>
      </w:r>
      <w:bookmarkEnd w:id="122"/>
    </w:p>
    <w:p>
      <w:pPr>
        <w:pStyle w:val="35"/>
      </w:pPr>
      <w:r>
        <w:rPr>
          <w:rFonts w:hint="eastAsia"/>
          <w:b/>
        </w:rPr>
        <w:t>一</w:t>
      </w:r>
      <w:r>
        <w:rPr>
          <w:b/>
        </w:rPr>
        <w:t>是推进产业链招商。</w:t>
      </w:r>
      <w:r>
        <w:rPr>
          <w:rFonts w:hint="eastAsia"/>
        </w:rPr>
        <w:t>以健全东阳磁性电子产业链为根本出发点，以</w:t>
      </w:r>
      <w:r>
        <w:t>延链、补链</w:t>
      </w:r>
      <w:r>
        <w:rPr>
          <w:rFonts w:hint="eastAsia"/>
        </w:rPr>
        <w:t>为切入点，重点就当前产业发展急需的磁性材料检验检测、现代智能化生产设备制造和服务、信息技术支持和下游电子元器件等领域开展企业和项目招引，</w:t>
      </w:r>
      <w:r>
        <w:t>提升产业集聚发展水平</w:t>
      </w:r>
      <w:r>
        <w:rPr>
          <w:rFonts w:hint="eastAsia"/>
        </w:rPr>
        <w:t>，促进产业从中低端向中高端发展</w:t>
      </w:r>
      <w:r>
        <w:t>。</w:t>
      </w:r>
      <w:r>
        <w:rPr>
          <w:rFonts w:hint="eastAsia"/>
          <w:b/>
        </w:rPr>
        <w:t>二是提升产业平台招商能力。</w:t>
      </w:r>
      <w:r>
        <w:rPr>
          <w:rFonts w:hint="eastAsia"/>
        </w:rPr>
        <w:t>坚持存量优化和增量扩张并重，以横店电子工业园区为重点，</w:t>
      </w:r>
      <w:r>
        <w:t>优化组合、提高实效，进一步明确各园区的功能定位和发展方向，做精平台、</w:t>
      </w:r>
      <w:bookmarkStart w:id="215" w:name="_GoBack"/>
      <w:bookmarkEnd w:id="215"/>
      <w:r>
        <w:t>做出特色，以高能级的平台招引“大好高”项目。</w:t>
      </w:r>
      <w:r>
        <w:rPr>
          <w:b/>
        </w:rPr>
        <w:t>三</w:t>
      </w:r>
      <w:r>
        <w:rPr>
          <w:rFonts w:hint="eastAsia"/>
          <w:b/>
        </w:rPr>
        <w:t>是实施浙商回归（东阳人经济回归）工程。</w:t>
      </w:r>
      <w:r>
        <w:rPr>
          <w:rFonts w:hint="eastAsia"/>
        </w:rPr>
        <w:t>加强东阳人经济、资本、智力回归，搭建新时期内外东阳人信息互通、资源共享的网络平台，实施精准招商，梳理出一批重点招商对象、招商项目，开展点对点招商，上门对接、上门服务、精准落地。</w:t>
      </w:r>
    </w:p>
    <w:p>
      <w:pPr>
        <w:pStyle w:val="4"/>
        <w:rPr>
          <w:shd w:val="clear" w:color="auto" w:fill="auto"/>
        </w:rPr>
      </w:pPr>
      <w:bookmarkStart w:id="123" w:name="_Toc465348297"/>
      <w:bookmarkStart w:id="124" w:name="_Toc467576783"/>
      <w:bookmarkStart w:id="125" w:name="_Toc475456988"/>
      <w:r>
        <w:rPr>
          <w:shd w:val="clear" w:color="auto" w:fill="auto"/>
        </w:rPr>
        <w:t>2、</w:t>
      </w:r>
      <w:bookmarkEnd w:id="123"/>
      <w:bookmarkEnd w:id="124"/>
      <w:r>
        <w:rPr>
          <w:rFonts w:hint="eastAsia"/>
          <w:shd w:val="clear" w:color="auto" w:fill="auto"/>
        </w:rPr>
        <w:t>加强项目建设</w:t>
      </w:r>
      <w:bookmarkEnd w:id="125"/>
    </w:p>
    <w:p>
      <w:pPr>
        <w:pStyle w:val="35"/>
      </w:pPr>
      <w:r>
        <w:rPr>
          <w:rFonts w:hint="eastAsia"/>
          <w:b/>
        </w:rPr>
        <w:t>一是推进新建项目建设。</w:t>
      </w:r>
      <w:r>
        <w:rPr>
          <w:rFonts w:hint="eastAsia"/>
        </w:rPr>
        <w:t>要重抓落实，明确时间节点、把握关键环节、创新工作方法、确保要素保障到位，以强有力的举措扎实推进项目建设，促进新引进项目尽快落地投产。</w:t>
      </w:r>
      <w:r>
        <w:rPr>
          <w:rFonts w:hint="eastAsia"/>
          <w:b/>
        </w:rPr>
        <w:t>二是鼓励企业加大技术改造投资。</w:t>
      </w:r>
      <w:r>
        <w:rPr>
          <w:rFonts w:hint="eastAsia"/>
        </w:rPr>
        <w:t>加大对企业技改的支持力度，稳步推进磁性电子产业“机器换人”步伐，通过完善“机器换人”奖励机制、加大宣传力度等方式，改变企业生产模式、提高生产效率和效益。对企业重大技术改造项目，优先列入市重点项目计划，优先推荐申报国家、省和金华市技改项目计划。</w:t>
      </w:r>
      <w:r>
        <w:rPr>
          <w:rFonts w:hint="eastAsia"/>
          <w:b/>
        </w:rPr>
        <w:t>三是鼓励企业推进“软实力”建设。</w:t>
      </w:r>
      <w:r>
        <w:rPr>
          <w:rFonts w:hint="eastAsia"/>
        </w:rPr>
        <w:t>鼓励企业采用众创、众包、众筹、众扶等融资聚智，加大研发设计平台建设、系统集成及应用、品牌经营、营销渠道开发等软实力投资。</w:t>
      </w:r>
    </w:p>
    <w:p>
      <w:pPr>
        <w:pStyle w:val="4"/>
        <w:rPr>
          <w:shd w:val="clear" w:color="auto" w:fill="auto"/>
        </w:rPr>
      </w:pPr>
      <w:bookmarkStart w:id="126" w:name="_Toc467576784"/>
      <w:bookmarkStart w:id="127" w:name="_Toc465348298"/>
      <w:bookmarkStart w:id="128" w:name="_Toc475456989"/>
      <w:r>
        <w:rPr>
          <w:shd w:val="clear" w:color="auto" w:fill="auto"/>
        </w:rPr>
        <w:t>3、</w:t>
      </w:r>
      <w:bookmarkEnd w:id="126"/>
      <w:bookmarkEnd w:id="127"/>
      <w:r>
        <w:rPr>
          <w:rFonts w:hint="eastAsia"/>
          <w:shd w:val="clear" w:color="auto" w:fill="auto"/>
        </w:rPr>
        <w:t>提升招商服务</w:t>
      </w:r>
      <w:bookmarkEnd w:id="128"/>
    </w:p>
    <w:p>
      <w:pPr>
        <w:pStyle w:val="35"/>
      </w:pPr>
      <w:r>
        <w:rPr>
          <w:rFonts w:hint="eastAsia"/>
          <w:b/>
        </w:rPr>
        <w:t>一是实施精准服务，保障项目落地。</w:t>
      </w:r>
      <w:r>
        <w:rPr>
          <w:rFonts w:hint="eastAsia"/>
        </w:rPr>
        <w:t>建立重点企业精准服务项目库，明确主要联系责任人，着力解决企业生产经营和项目推进中的突出问题，力争做到开发一块、建成一块，提高土地利用水平。</w:t>
      </w:r>
      <w:r>
        <w:rPr>
          <w:rFonts w:hint="eastAsia"/>
          <w:b/>
        </w:rPr>
        <w:t>二是加强项目跟踪服务，了解项目动态。</w:t>
      </w:r>
      <w:r>
        <w:rPr>
          <w:rFonts w:hint="eastAsia"/>
        </w:rPr>
        <w:t>建立项目动态调整制度，掌握各在谈、在引、在建项目进展情况，严格对重点项目建设的督查考核，执行月通报制度，实施跟踪服务，切实协调解决项目建设过程中遇到的各种困难，加快项目建设进度。</w:t>
      </w:r>
      <w:r>
        <w:rPr>
          <w:rFonts w:hint="eastAsia"/>
          <w:b/>
        </w:rPr>
        <w:t>三</w:t>
      </w:r>
      <w:r>
        <w:rPr>
          <w:b/>
        </w:rPr>
        <w:t>是丰富招商形式。</w:t>
      </w:r>
      <w:r>
        <w:t>建立企业招商激励机制，鼓励龙头企业通过参加产品推介会、经贸洽谈会等活动以商引</w:t>
      </w:r>
      <w:r>
        <w:rPr>
          <w:rFonts w:hint="eastAsia"/>
        </w:rPr>
        <w:t>商；加大对企业上市募投项目的支持力度，鼓励企业以对接资本市场的形式引进项目。</w:t>
      </w:r>
    </w:p>
    <w:p>
      <w:pPr>
        <w:pStyle w:val="3"/>
        <w:rPr>
          <w:shd w:val="clear" w:color="auto" w:fill="auto"/>
        </w:rPr>
      </w:pPr>
      <w:bookmarkStart w:id="129" w:name="_Toc475457215"/>
      <w:bookmarkStart w:id="130" w:name="_Toc475456990"/>
      <w:bookmarkStart w:id="131" w:name="_Toc475457354"/>
      <w:r>
        <w:rPr>
          <w:rFonts w:hint="eastAsia"/>
          <w:shd w:val="clear" w:color="auto" w:fill="auto"/>
        </w:rPr>
        <w:t>（六）加快集聚集约，提升</w:t>
      </w:r>
      <w:r>
        <w:rPr>
          <w:shd w:val="clear" w:color="auto" w:fill="auto"/>
        </w:rPr>
        <w:t>平台</w:t>
      </w:r>
      <w:r>
        <w:rPr>
          <w:rFonts w:hint="eastAsia"/>
          <w:shd w:val="clear" w:color="auto" w:fill="auto"/>
        </w:rPr>
        <w:t>能级</w:t>
      </w:r>
      <w:bookmarkEnd w:id="129"/>
      <w:bookmarkEnd w:id="130"/>
      <w:bookmarkEnd w:id="131"/>
    </w:p>
    <w:p>
      <w:pPr>
        <w:pStyle w:val="4"/>
        <w:rPr>
          <w:shd w:val="clear" w:color="auto" w:fill="auto"/>
        </w:rPr>
      </w:pPr>
      <w:bookmarkStart w:id="132" w:name="_Toc467576786"/>
      <w:bookmarkStart w:id="133" w:name="_Toc475456991"/>
      <w:bookmarkStart w:id="134" w:name="_Toc465348300"/>
      <w:r>
        <w:rPr>
          <w:rFonts w:hint="eastAsia"/>
          <w:shd w:val="clear" w:color="auto" w:fill="auto"/>
        </w:rPr>
        <w:t>1、加快推进平台整合提升</w:t>
      </w:r>
      <w:bookmarkEnd w:id="132"/>
      <w:bookmarkEnd w:id="133"/>
      <w:bookmarkEnd w:id="134"/>
    </w:p>
    <w:p>
      <w:pPr>
        <w:pStyle w:val="35"/>
      </w:pPr>
      <w:r>
        <w:rPr>
          <w:rFonts w:hint="eastAsia"/>
          <w:b/>
          <w:szCs w:val="28"/>
        </w:rPr>
        <w:t>一是</w:t>
      </w:r>
      <w:r>
        <w:rPr>
          <w:b/>
          <w:szCs w:val="28"/>
        </w:rPr>
        <w:t>大力推动园区整合提升</w:t>
      </w:r>
      <w:r>
        <w:rPr>
          <w:rFonts w:hint="eastAsia"/>
          <w:b/>
        </w:rPr>
        <w:t>。</w:t>
      </w:r>
      <w:r>
        <w:rPr>
          <w:rFonts w:hint="eastAsia"/>
        </w:rPr>
        <w:t>按照“高水平开发、高强度投入、高密度产出”的要求，以横店电子产业园区整合提升工作为重点，规划、建设好江北新区，提高承载力和辐射力，提升产业集聚水平。</w:t>
      </w:r>
      <w:r>
        <w:rPr>
          <w:rFonts w:hint="eastAsia"/>
          <w:b/>
        </w:rPr>
        <w:t>二是</w:t>
      </w:r>
      <w:r>
        <w:rPr>
          <w:b/>
        </w:rPr>
        <w:t>加快培育</w:t>
      </w:r>
      <w:r>
        <w:rPr>
          <w:rFonts w:hint="eastAsia"/>
          <w:b/>
        </w:rPr>
        <w:t>磁感</w:t>
      </w:r>
      <w:r>
        <w:rPr>
          <w:b/>
        </w:rPr>
        <w:t>小镇。</w:t>
      </w:r>
      <w:r>
        <w:t>在东阳市特色小镇规划建设工作联席会议机制统筹下，</w:t>
      </w:r>
      <w:r>
        <w:rPr>
          <w:rFonts w:hint="eastAsia"/>
        </w:rPr>
        <w:t>谋划创建集磁性材料生产、电子元器件制造、磁感技术体验、磁性电子产品展示于一体的磁感小镇</w:t>
      </w:r>
      <w:r>
        <w:t>，编制创建实施方案和概念性规划，</w:t>
      </w:r>
      <w:r>
        <w:rPr>
          <w:rFonts w:hint="eastAsia"/>
        </w:rPr>
        <w:t>并争创省、市级特色小镇</w:t>
      </w:r>
      <w:r>
        <w:t>。</w:t>
      </w:r>
    </w:p>
    <w:p>
      <w:pPr>
        <w:pStyle w:val="4"/>
        <w:rPr>
          <w:shd w:val="clear" w:color="auto" w:fill="auto"/>
        </w:rPr>
      </w:pPr>
      <w:bookmarkStart w:id="135" w:name="_Toc465348301"/>
      <w:bookmarkStart w:id="136" w:name="_Toc467576787"/>
      <w:bookmarkStart w:id="137" w:name="_Toc475456992"/>
      <w:r>
        <w:rPr>
          <w:rFonts w:hint="eastAsia"/>
          <w:shd w:val="clear" w:color="auto" w:fill="auto"/>
        </w:rPr>
        <w:t>2、提高平台配套服务能力</w:t>
      </w:r>
      <w:bookmarkEnd w:id="135"/>
      <w:bookmarkEnd w:id="136"/>
      <w:bookmarkEnd w:id="137"/>
    </w:p>
    <w:p>
      <w:pPr>
        <w:pStyle w:val="35"/>
      </w:pPr>
      <w:r>
        <w:rPr>
          <w:rFonts w:hint="eastAsia"/>
          <w:b/>
        </w:rPr>
        <w:t>一是加强平台基础设施建设。</w:t>
      </w:r>
      <w:r>
        <w:rPr>
          <w:rFonts w:hint="eastAsia"/>
        </w:rPr>
        <w:t>严格依据城市总体规划和土地利用总体规划，充分考虑资源环境影响和磁性材料行业集聚发展要求，统筹推进供水、供气、供热、电力、通信、公共交通、物流配送基础设施建设。</w:t>
      </w:r>
      <w:r>
        <w:rPr>
          <w:rFonts w:hint="eastAsia"/>
          <w:b/>
        </w:rPr>
        <w:t>二是加强公共服务平台建设。</w:t>
      </w:r>
      <w:r>
        <w:rPr>
          <w:rFonts w:hint="eastAsia"/>
        </w:rPr>
        <w:t>着力发展一批运作规范、支撑力强、业绩突出、信誉良好的公共服务平台，重点增强公共服务平台在研究开发、工业设计、检验检测、试验验证、科技成果转化、知识产权服务、信息服务等方面的服务支撑能力。加快建立新闻发布平台、荣誉展示平台，对东阳磁性电子产业进行宣传推广。</w:t>
      </w:r>
    </w:p>
    <w:p>
      <w:pPr>
        <w:pStyle w:val="4"/>
        <w:rPr>
          <w:shd w:val="clear" w:color="auto" w:fill="auto"/>
        </w:rPr>
      </w:pPr>
      <w:bookmarkStart w:id="138" w:name="_Toc467576788"/>
      <w:bookmarkStart w:id="139" w:name="_Toc475456993"/>
      <w:bookmarkStart w:id="140" w:name="_Toc465348302"/>
      <w:r>
        <w:rPr>
          <w:rFonts w:hint="eastAsia"/>
          <w:shd w:val="clear" w:color="auto" w:fill="auto"/>
        </w:rPr>
        <w:t>3、提升园区绿色发展水平</w:t>
      </w:r>
      <w:bookmarkEnd w:id="138"/>
      <w:bookmarkEnd w:id="139"/>
      <w:bookmarkEnd w:id="140"/>
    </w:p>
    <w:p>
      <w:pPr>
        <w:pStyle w:val="35"/>
      </w:pPr>
      <w:r>
        <w:rPr>
          <w:rFonts w:hint="eastAsia"/>
          <w:b/>
        </w:rPr>
        <w:t>一是推进节能减排改造。</w:t>
      </w:r>
      <w:r>
        <w:rPr>
          <w:rFonts w:hint="eastAsia"/>
        </w:rPr>
        <w:t>以余热余压利用、电机系统节能、石油节约替代和能量系统优化为重点，实施节能改造工程。支持创建生态设计示范企业，开展试点示范工程建设。</w:t>
      </w:r>
      <w:r>
        <w:rPr>
          <w:rFonts w:hint="eastAsia"/>
          <w:b/>
        </w:rPr>
        <w:t>二是加强清洁生产。</w:t>
      </w:r>
      <w:r>
        <w:rPr>
          <w:rFonts w:hint="eastAsia"/>
        </w:rPr>
        <w:t>落实《国务院大气污染防治行动计划》，分批指导重点企业开展自愿性和强制性清洁生产审核，实施清洁生产技术改造。提升工业集聚区水污染治理能力，严厉打击涉水涉河污染水环境的违法行为，积极推动城镇生活污水和工业园区工业污水分质处理改造。</w:t>
      </w:r>
    </w:p>
    <w:p>
      <w:pPr>
        <w:pStyle w:val="32"/>
        <w:spacing w:line="560" w:lineRule="exact"/>
        <w:rPr>
          <w:rFonts w:ascii="Times New Roman" w:hAnsi="Times New Roman"/>
        </w:rPr>
      </w:pPr>
    </w:p>
    <w:p>
      <w:pPr>
        <w:widowControl/>
        <w:ind w:firstLine="0" w:firstLineChars="0"/>
        <w:jc w:val="left"/>
        <w:rPr>
          <w:rFonts w:ascii="Times New Roman" w:hAnsi="Times New Roman" w:eastAsia="黑体"/>
          <w:b/>
        </w:rPr>
      </w:pPr>
      <w:r>
        <w:rPr>
          <w:rFonts w:ascii="Times New Roman" w:hAnsi="Times New Roman" w:eastAsia="黑体"/>
          <w:b/>
        </w:rPr>
        <w:br w:type="page"/>
      </w:r>
    </w:p>
    <w:p>
      <w:pPr>
        <w:pStyle w:val="2"/>
      </w:pPr>
      <w:bookmarkStart w:id="141" w:name="_Toc475456994"/>
      <w:bookmarkStart w:id="142" w:name="_Toc475457216"/>
      <w:bookmarkStart w:id="143" w:name="_Toc475457355"/>
      <w:r>
        <w:rPr>
          <w:rFonts w:hint="eastAsia"/>
        </w:rPr>
        <w:t>五</w:t>
      </w:r>
      <w:r>
        <w:t>、东阳磁性电子产业发展的保障举措</w:t>
      </w:r>
      <w:bookmarkEnd w:id="141"/>
      <w:bookmarkEnd w:id="142"/>
      <w:bookmarkEnd w:id="143"/>
    </w:p>
    <w:p>
      <w:pPr>
        <w:pStyle w:val="35"/>
        <w:ind w:firstLine="640"/>
      </w:pPr>
      <w:r>
        <w:rPr>
          <w:rFonts w:hint="eastAsia"/>
        </w:rPr>
        <w:t xml:space="preserve">进一步深化供给侧结构性改革，健全和完善有利于磁性电子产业发展的政策体系和制度安排，在解决制约工业强市的深层次体制机制障碍上取得实质性进展，为工业转型升级提供重要的制度保障。 </w:t>
      </w:r>
    </w:p>
    <w:p>
      <w:pPr>
        <w:pStyle w:val="3"/>
      </w:pPr>
      <w:bookmarkStart w:id="144" w:name="_Toc475457217"/>
      <w:bookmarkStart w:id="145" w:name="_Toc475457356"/>
      <w:bookmarkStart w:id="146" w:name="_Toc475456995"/>
      <w:r>
        <w:rPr>
          <w:rFonts w:hint="eastAsia"/>
        </w:rPr>
        <w:t>（一）加强要素供给</w:t>
      </w:r>
      <w:bookmarkEnd w:id="144"/>
      <w:bookmarkEnd w:id="145"/>
      <w:bookmarkEnd w:id="146"/>
    </w:p>
    <w:p>
      <w:pPr>
        <w:pStyle w:val="35"/>
        <w:ind w:firstLine="640" w:firstLineChars="0"/>
      </w:pPr>
      <w:r>
        <w:rPr>
          <w:rFonts w:hint="eastAsia"/>
        </w:rPr>
        <w:t>积极推进供给侧结构性改革，加快需求侧投资、消费、出口“三驾马车”向供给侧劳动力、土地、资本、创新“四大要素”转变，调整经济结构，使要素实现最优配置，提升经济增长的质量。</w:t>
      </w:r>
    </w:p>
    <w:p>
      <w:pPr>
        <w:pStyle w:val="4"/>
        <w:rPr>
          <w:shd w:val="clear" w:color="auto" w:fill="auto"/>
        </w:rPr>
      </w:pPr>
      <w:bookmarkStart w:id="147" w:name="_Toc467576791"/>
      <w:bookmarkStart w:id="148" w:name="_Toc475456996"/>
      <w:r>
        <w:rPr>
          <w:rFonts w:hint="eastAsia"/>
          <w:shd w:val="clear" w:color="auto" w:fill="auto"/>
        </w:rPr>
        <w:t>1、增强人才有效供给</w:t>
      </w:r>
      <w:bookmarkEnd w:id="147"/>
      <w:bookmarkEnd w:id="148"/>
    </w:p>
    <w:p>
      <w:pPr>
        <w:pStyle w:val="35"/>
      </w:pPr>
      <w:r>
        <w:rPr>
          <w:rFonts w:hint="eastAsia"/>
          <w:b/>
        </w:rPr>
        <w:t>一是完善梯次人才培养体系。</w:t>
      </w:r>
      <w:r>
        <w:rPr>
          <w:rFonts w:hint="eastAsia"/>
        </w:rPr>
        <w:t>培养和引进以高校系、阿里系、浙大系、海归系为代表的创业“新四军”高层次人才；推动院士工作站、博士后工作站建设，引进和培养工业领域高层次人才、紧缺型人才、创新创业人才和实用型人才；强化职业教育和技能培育，与高等院校、职业技校建立实训基地，推进高技能人才队伍建设，培育一批现代工匠。</w:t>
      </w:r>
    </w:p>
    <w:p>
      <w:pPr>
        <w:pStyle w:val="35"/>
      </w:pPr>
      <w:r>
        <w:rPr>
          <w:rFonts w:hint="eastAsia"/>
          <w:b/>
        </w:rPr>
        <w:t>二是建立健全人才激励机制。</w:t>
      </w:r>
      <w:r>
        <w:rPr>
          <w:rFonts w:hint="eastAsia"/>
        </w:rPr>
        <w:t>完善柔性人才引进机制，加大对领军人才、优秀创业团队的表彰和奖励力度。提高科研人员成果转化收益比例，完善科技成果知识产权归属和利益分享机制，鼓励企业建立技术骨干和团队股权激励机制。健全人才流动和使用机制，采取多种形式选拔优秀人才，组织专业技术人才到国外学习培训，探索建立磁性电子产业国际培训基地。</w:t>
      </w:r>
    </w:p>
    <w:p>
      <w:pPr>
        <w:pStyle w:val="4"/>
        <w:rPr>
          <w:shd w:val="clear" w:color="auto" w:fill="auto"/>
        </w:rPr>
      </w:pPr>
      <w:bookmarkStart w:id="149" w:name="_Toc467576792"/>
      <w:bookmarkStart w:id="150" w:name="_Toc475456997"/>
      <w:r>
        <w:rPr>
          <w:rFonts w:hint="eastAsia"/>
          <w:shd w:val="clear" w:color="auto" w:fill="auto"/>
        </w:rPr>
        <w:t>2、完善土地用能供给</w:t>
      </w:r>
      <w:bookmarkEnd w:id="149"/>
      <w:bookmarkEnd w:id="150"/>
    </w:p>
    <w:p>
      <w:pPr>
        <w:pStyle w:val="35"/>
      </w:pPr>
      <w:r>
        <w:rPr>
          <w:rFonts w:hint="eastAsia"/>
          <w:b/>
        </w:rPr>
        <w:t>一是完善工业用地出让市场，提高用地保障能力。</w:t>
      </w:r>
      <w:r>
        <w:rPr>
          <w:rFonts w:hint="eastAsia"/>
        </w:rPr>
        <w:t>完善土地供应和利用机制，在可用土地指标范围内进一步加大可供利用土地的开发；加快“空间换地”、“零土地”技改盘活低效用地；研究制订土地回购政策，提高低效闲置厂房的闲置成本。</w:t>
      </w:r>
    </w:p>
    <w:p>
      <w:pPr>
        <w:pStyle w:val="35"/>
      </w:pPr>
      <w:r>
        <w:rPr>
          <w:rFonts w:hint="eastAsia"/>
          <w:b/>
        </w:rPr>
        <w:t>二是建立用能权交易市场，提高能源保障能力。</w:t>
      </w:r>
      <w:r>
        <w:rPr>
          <w:rFonts w:hint="eastAsia"/>
        </w:rPr>
        <w:t>建立用能权公共交易市场，完善规上工业企业能源供应配置综合评价体系，实行分类管理。优先保障磁性电子产业重点企业和“大好高”项目用能，实施差别化电价，严控高能耗和产能过剩行业企业用能。探索建立产能互联网合作平台，支持龙头企业在工艺、标准、装备等方面进行服务输出，扩大利润。</w:t>
      </w:r>
    </w:p>
    <w:p>
      <w:pPr>
        <w:pStyle w:val="4"/>
        <w:rPr>
          <w:shd w:val="clear" w:color="auto" w:fill="auto"/>
        </w:rPr>
      </w:pPr>
      <w:bookmarkStart w:id="151" w:name="_Toc475456998"/>
      <w:bookmarkStart w:id="152" w:name="_Toc467576793"/>
      <w:r>
        <w:rPr>
          <w:rFonts w:hint="eastAsia"/>
          <w:shd w:val="clear" w:color="auto" w:fill="auto"/>
        </w:rPr>
        <w:t>3、创新财政金融供给</w:t>
      </w:r>
      <w:bookmarkEnd w:id="151"/>
      <w:bookmarkEnd w:id="152"/>
    </w:p>
    <w:p>
      <w:pPr>
        <w:pStyle w:val="35"/>
      </w:pPr>
      <w:r>
        <w:rPr>
          <w:rFonts w:hint="eastAsia"/>
          <w:b/>
        </w:rPr>
        <w:t>一是创新财政资金支持方式。</w:t>
      </w:r>
      <w:r>
        <w:rPr>
          <w:rFonts w:hint="eastAsia"/>
        </w:rPr>
        <w:t>探索成立磁性电子产业</w:t>
      </w:r>
      <w:r>
        <w:t>引导基金，引导社会资本参与制造业重大项目建设、企业技术改造和关键基础设施建设。发挥财税调整在供给侧结构性改革中作用，重点投向智能制造、绿色制造等工业转型升级的关键领域。</w:t>
      </w:r>
    </w:p>
    <w:p>
      <w:pPr>
        <w:pStyle w:val="35"/>
      </w:pPr>
      <w:r>
        <w:rPr>
          <w:rFonts w:hint="eastAsia"/>
          <w:b/>
        </w:rPr>
        <w:t>二是拓宽企业融资渠道。</w:t>
      </w:r>
      <w:r>
        <w:rPr>
          <w:rFonts w:hint="eastAsia"/>
        </w:rPr>
        <w:t>建立政府与金融机构的沟通协调机制，深入推进科技金融、小微金融等金融产品创新，支持地方法人银行发展，推进担保机构、小贷公司规范发展，扶持产业基金和私募基金发展，加快形成渠道多样化的融资格局。完善银企对接合作平台，支持企业发行短融、私募债券、公司债、企业债、信托产品等，</w:t>
      </w:r>
      <w:r>
        <w:t>加大直接融资和资本运作水平</w:t>
      </w:r>
      <w:r>
        <w:rPr>
          <w:rFonts w:hint="eastAsia"/>
        </w:rPr>
        <w:t>，</w:t>
      </w:r>
      <w:r>
        <w:t>助力企业加快发展。</w:t>
      </w:r>
    </w:p>
    <w:p>
      <w:pPr>
        <w:pStyle w:val="3"/>
        <w:rPr>
          <w:shd w:val="clear" w:color="auto" w:fill="auto"/>
        </w:rPr>
      </w:pPr>
      <w:bookmarkStart w:id="153" w:name="_Toc475457218"/>
      <w:bookmarkStart w:id="154" w:name="_Toc475456999"/>
      <w:bookmarkStart w:id="155" w:name="_Toc475457357"/>
      <w:r>
        <w:rPr>
          <w:rFonts w:hint="eastAsia"/>
          <w:shd w:val="clear" w:color="auto" w:fill="auto"/>
        </w:rPr>
        <w:t>（二）优化政策环境</w:t>
      </w:r>
      <w:bookmarkEnd w:id="153"/>
      <w:bookmarkEnd w:id="154"/>
      <w:bookmarkEnd w:id="155"/>
    </w:p>
    <w:p>
      <w:pPr>
        <w:pStyle w:val="35"/>
        <w:ind w:firstLine="640" w:firstLineChars="0"/>
      </w:pPr>
      <w:r>
        <w:rPr>
          <w:rFonts w:hint="eastAsia"/>
        </w:rPr>
        <w:t>着力解决制约当前东阳磁性电子产业发展的核心因素，在加强要素保障和供给的同时，发挥政府引导作用，切实减轻企业负担，提升服务水平，优化经营环境，推进磁性电子产业高端化、国际化水平，提升整体竞争实力。</w:t>
      </w:r>
    </w:p>
    <w:p>
      <w:pPr>
        <w:pStyle w:val="4"/>
        <w:rPr>
          <w:shd w:val="clear" w:color="auto" w:fill="auto"/>
        </w:rPr>
      </w:pPr>
      <w:bookmarkStart w:id="156" w:name="_Toc475457000"/>
      <w:bookmarkStart w:id="157" w:name="_Toc467576795"/>
      <w:r>
        <w:rPr>
          <w:rFonts w:hint="eastAsia"/>
          <w:shd w:val="clear" w:color="auto" w:fill="auto"/>
        </w:rPr>
        <w:t>1、加大政策支持</w:t>
      </w:r>
      <w:bookmarkEnd w:id="156"/>
      <w:bookmarkEnd w:id="157"/>
    </w:p>
    <w:p>
      <w:pPr>
        <w:pStyle w:val="35"/>
      </w:pPr>
      <w:r>
        <w:rPr>
          <w:rFonts w:hint="eastAsia"/>
          <w:b/>
        </w:rPr>
        <w:t>一是切实减轻企业负担。</w:t>
      </w:r>
      <w:r>
        <w:rPr>
          <w:rFonts w:hint="eastAsia"/>
        </w:rPr>
        <w:t>严格执行国家、省有关减轻企业税费负担的各项规定，制定涉企行政事业性收费目录，降低制度性交易成本、企业税费负担、社会保险费、企业融资成本、电价以及物流成本等，全面落实各项税费减免政策。</w:t>
      </w:r>
    </w:p>
    <w:p>
      <w:pPr>
        <w:pStyle w:val="35"/>
      </w:pPr>
      <w:r>
        <w:rPr>
          <w:rFonts w:hint="eastAsia"/>
          <w:b/>
        </w:rPr>
        <w:t>二是提升政策指引力度。</w:t>
      </w:r>
      <w:r>
        <w:rPr>
          <w:rFonts w:hint="eastAsia"/>
        </w:rPr>
        <w:t>全面梳理国家、省、市推进相关产业的优惠政策，提炼“含金量高”、成效明显、有利于磁性电子产业发展的优惠政策真正落地，加快完善落实有关推进“机器换人”、节能减排、循环经济和两化深度融合等相关法律法规。</w:t>
      </w:r>
    </w:p>
    <w:p>
      <w:pPr>
        <w:pStyle w:val="35"/>
      </w:pPr>
      <w:r>
        <w:rPr>
          <w:rFonts w:hint="eastAsia"/>
          <w:b/>
        </w:rPr>
        <w:t>三是强化政策协调水平。</w:t>
      </w:r>
      <w:r>
        <w:rPr>
          <w:rFonts w:hint="eastAsia"/>
        </w:rPr>
        <w:t>强化产业政策与财税、贸易、信贷、政府采购、土地、环保、安全、知识产权、质量监督、标准等政策的协调配合。</w:t>
      </w:r>
    </w:p>
    <w:p>
      <w:pPr>
        <w:pStyle w:val="4"/>
        <w:rPr>
          <w:shd w:val="clear" w:color="auto" w:fill="auto"/>
        </w:rPr>
      </w:pPr>
      <w:bookmarkStart w:id="158" w:name="_Toc475457001"/>
      <w:bookmarkStart w:id="159" w:name="_Toc467576796"/>
      <w:r>
        <w:rPr>
          <w:rFonts w:hint="eastAsia"/>
          <w:shd w:val="clear" w:color="auto" w:fill="auto"/>
        </w:rPr>
        <w:t>2、提升服务水平</w:t>
      </w:r>
      <w:bookmarkEnd w:id="158"/>
      <w:bookmarkEnd w:id="159"/>
    </w:p>
    <w:p>
      <w:pPr>
        <w:pStyle w:val="35"/>
      </w:pPr>
      <w:r>
        <w:rPr>
          <w:rFonts w:hint="eastAsia"/>
          <w:b/>
        </w:rPr>
        <w:t>一是</w:t>
      </w:r>
      <w:r>
        <w:rPr>
          <w:b/>
        </w:rPr>
        <w:t>探索建立</w:t>
      </w:r>
      <w:r>
        <w:rPr>
          <w:rFonts w:hint="eastAsia"/>
          <w:b/>
        </w:rPr>
        <w:t>原材料统一采购平台。</w:t>
      </w:r>
      <w:r>
        <w:rPr>
          <w:rFonts w:hint="eastAsia"/>
        </w:rPr>
        <w:t>支持</w:t>
      </w:r>
      <w:r>
        <w:t>磁性材料产业龙头企业联合组建</w:t>
      </w:r>
      <w:r>
        <w:rPr>
          <w:rFonts w:hint="eastAsia"/>
        </w:rPr>
        <w:t>原材料统一采购平台，探索原材料统一采购、统一销售运行机制，最大</w:t>
      </w:r>
      <w:r>
        <w:t>限度</w:t>
      </w:r>
      <w:r>
        <w:rPr>
          <w:rFonts w:hint="eastAsia"/>
        </w:rPr>
        <w:t>降低原材料成本、</w:t>
      </w:r>
      <w:r>
        <w:t>提升原材料质量</w:t>
      </w:r>
      <w:r>
        <w:rPr>
          <w:rFonts w:hint="eastAsia"/>
        </w:rPr>
        <w:t>，进一步</w:t>
      </w:r>
      <w:r>
        <w:t>优化市场竞争环境。</w:t>
      </w:r>
    </w:p>
    <w:p>
      <w:pPr>
        <w:pStyle w:val="35"/>
      </w:pPr>
      <w:r>
        <w:rPr>
          <w:rFonts w:hint="eastAsia"/>
          <w:b/>
        </w:rPr>
        <w:t>二是建立社会化服务体系。</w:t>
      </w:r>
      <w:r>
        <w:rPr>
          <w:rFonts w:hint="eastAsia"/>
        </w:rPr>
        <w:t>尽快建立和完善面向磁性电子产业的社会化服务体系，为企业提供技术中介服务、公共技术支持平台、技术信息服务、知识产权服务与管理、新产品认定和标准化服务等。</w:t>
      </w:r>
    </w:p>
    <w:p>
      <w:pPr>
        <w:pStyle w:val="35"/>
      </w:pPr>
      <w:r>
        <w:rPr>
          <w:rFonts w:hint="eastAsia"/>
          <w:b/>
        </w:rPr>
        <w:t>三是提高审批服务效率。</w:t>
      </w:r>
      <w:r>
        <w:rPr>
          <w:rFonts w:hint="eastAsia"/>
        </w:rPr>
        <w:t>简化企业审批流程，按照转变职能、理顺关系、优化结构、提高效能、服务群众的原则，实施流程再造，减少办事步骤、环节及时限，提高行政审批效率。推进所有审核审批服务事项一律进驻市行政审批服务中心，实行“一条龙”审批服务，严格审批行为和收费事项、严禁以管理名义履行审批职能，确保“权力清单”之外无审批，杜绝违规违法审批。</w:t>
      </w:r>
    </w:p>
    <w:p>
      <w:pPr>
        <w:pStyle w:val="4"/>
        <w:rPr>
          <w:shd w:val="clear" w:color="auto" w:fill="auto"/>
        </w:rPr>
      </w:pPr>
      <w:bookmarkStart w:id="160" w:name="_Toc467576797"/>
      <w:bookmarkStart w:id="161" w:name="_Toc475457002"/>
      <w:r>
        <w:rPr>
          <w:rFonts w:hint="eastAsia"/>
          <w:shd w:val="clear" w:color="auto" w:fill="auto"/>
        </w:rPr>
        <w:t>3、优化发展环境</w:t>
      </w:r>
      <w:bookmarkEnd w:id="160"/>
      <w:bookmarkEnd w:id="161"/>
    </w:p>
    <w:p>
      <w:pPr>
        <w:pStyle w:val="35"/>
      </w:pPr>
      <w:r>
        <w:rPr>
          <w:rFonts w:hint="eastAsia"/>
          <w:b/>
        </w:rPr>
        <w:t>一是推进</w:t>
      </w:r>
      <w:r>
        <w:rPr>
          <w:b/>
        </w:rPr>
        <w:t>信用体系建设。</w:t>
      </w:r>
      <w:r>
        <w:rPr>
          <w:rFonts w:hint="eastAsia"/>
        </w:rPr>
        <w:t>支持</w:t>
      </w:r>
      <w:r>
        <w:t>行业协会推进企业</w:t>
      </w:r>
      <w:r>
        <w:rPr>
          <w:rFonts w:hint="eastAsia"/>
        </w:rPr>
        <w:t>信用</w:t>
      </w:r>
      <w:r>
        <w:t>评价工作，</w:t>
      </w:r>
      <w:r>
        <w:rPr>
          <w:rFonts w:hint="eastAsia"/>
        </w:rPr>
        <w:t>加快推进政府部门间企业信用信息的互联共享，努力实现企业信用信息对全社会的开放。</w:t>
      </w:r>
    </w:p>
    <w:p>
      <w:pPr>
        <w:pStyle w:val="35"/>
      </w:pPr>
      <w:r>
        <w:rPr>
          <w:rFonts w:hint="eastAsia"/>
          <w:b/>
        </w:rPr>
        <w:t>二是加强组织保障。</w:t>
      </w:r>
      <w:r>
        <w:rPr>
          <w:rFonts w:hint="eastAsia"/>
        </w:rPr>
        <w:t>建立、健全各级行政领导负责制和专家咨询制度，市、开发区、镇街联动，切实做到组织到位、责任到位、工作到位，保障各项任务顺利完成。</w:t>
      </w:r>
    </w:p>
    <w:p>
      <w:pPr>
        <w:pStyle w:val="35"/>
      </w:pPr>
      <w:r>
        <w:rPr>
          <w:rFonts w:hint="eastAsia"/>
          <w:b/>
        </w:rPr>
        <w:t>三是保障规划实施。</w:t>
      </w:r>
      <w:r>
        <w:rPr>
          <w:rFonts w:hint="eastAsia"/>
        </w:rPr>
        <w:t>以《东阳市磁性电子产业“十三五”发展规划》为依据，加快制定与规划有关的实施方案和实施细则，确保任务分解到位。</w:t>
      </w:r>
      <w:r>
        <w:t>建立规划实施的动态评估机制，对规划实施的阶段成果进行动态监测，根据反馈情况适时对规划进行调整，促进规划目标顺利完成。</w:t>
      </w:r>
    </w:p>
    <w:p>
      <w:pPr>
        <w:pStyle w:val="35"/>
        <w:rPr>
          <w:b/>
        </w:rPr>
      </w:pPr>
      <w:r>
        <w:rPr>
          <w:rFonts w:hint="eastAsia"/>
          <w:b/>
        </w:rPr>
        <w:t>四是加强宣传推广。</w:t>
      </w:r>
      <w:r>
        <w:rPr>
          <w:rFonts w:hint="eastAsia"/>
        </w:rPr>
        <w:t>隔年举办东阳磁性材料高峰论坛，加强东阳市磁性电子企业与国内外同行的交流与合作，集聚多种优势资源，共同探讨国际磁性材料行业发展现状与趋势，磁性材料产业发展重点方向以及市场拓展目标，促进磁性材料行业创新持续发展。每年召开磁性电子产业新闻发布会，逐步提高东阳磁性行业在全国磁性材料领域的发言权。</w:t>
      </w:r>
    </w:p>
    <w:p>
      <w:pPr>
        <w:pStyle w:val="32"/>
        <w:spacing w:line="560" w:lineRule="exact"/>
        <w:rPr>
          <w:rFonts w:ascii="Times New Roman" w:hAnsi="Times New Roman"/>
        </w:rPr>
      </w:pPr>
    </w:p>
    <w:p>
      <w:pPr>
        <w:widowControl/>
        <w:ind w:firstLine="0" w:firstLineChars="0"/>
        <w:jc w:val="left"/>
        <w:rPr>
          <w:rFonts w:ascii="Times New Roman" w:hAnsi="Times New Roman" w:eastAsia="仿宋_GB2312"/>
          <w:szCs w:val="32"/>
        </w:rPr>
      </w:pPr>
      <w:r>
        <w:rPr>
          <w:rFonts w:ascii="Times New Roman" w:hAnsi="Times New Roman"/>
        </w:rPr>
        <w:br w:type="page"/>
      </w:r>
    </w:p>
    <w:p>
      <w:pPr>
        <w:pStyle w:val="2"/>
      </w:pPr>
      <w:bookmarkStart w:id="162" w:name="_Toc475457003"/>
      <w:bookmarkStart w:id="163" w:name="_Toc475457219"/>
      <w:bookmarkStart w:id="164" w:name="_Toc475457358"/>
      <w:r>
        <w:rPr>
          <w:rFonts w:hint="eastAsia"/>
        </w:rPr>
        <w:t>附件1 磁性电子产业亿元以上企业培育表</w:t>
      </w:r>
      <w:bookmarkEnd w:id="162"/>
      <w:bookmarkEnd w:id="163"/>
      <w:bookmarkEnd w:id="164"/>
    </w:p>
    <w:p>
      <w:pPr>
        <w:pStyle w:val="35"/>
        <w:ind w:firstLine="640"/>
      </w:pPr>
    </w:p>
    <w:p>
      <w:pPr>
        <w:pStyle w:val="41"/>
        <w:rPr>
          <w:sz w:val="28"/>
          <w:shd w:val="clear" w:color="auto" w:fill="auto"/>
        </w:rPr>
      </w:pPr>
      <w:r>
        <w:rPr>
          <w:rFonts w:hint="eastAsia"/>
          <w:sz w:val="28"/>
          <w:shd w:val="clear" w:color="auto" w:fill="auto"/>
        </w:rPr>
        <w:t>附表</w:t>
      </w:r>
      <w:r>
        <w:rPr>
          <w:sz w:val="28"/>
          <w:shd w:val="clear" w:color="auto" w:fill="auto"/>
        </w:rPr>
        <w:t xml:space="preserve">1 </w:t>
      </w:r>
      <w:r>
        <w:rPr>
          <w:rFonts w:hint="eastAsia"/>
          <w:sz w:val="28"/>
          <w:shd w:val="clear" w:color="auto" w:fill="auto"/>
        </w:rPr>
        <w:t>磁性电子产业亿元以上企业培育表</w:t>
      </w:r>
    </w:p>
    <w:tbl>
      <w:tblPr>
        <w:tblStyle w:val="16"/>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4256"/>
        <w:gridCol w:w="1730"/>
        <w:gridCol w:w="173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vMerge w:val="restart"/>
            <w:shd w:val="clear" w:color="auto" w:fill="D8D8D8" w:themeFill="background1" w:themeFillShade="D9"/>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序号</w:t>
            </w:r>
          </w:p>
        </w:tc>
        <w:tc>
          <w:tcPr>
            <w:tcW w:w="2497" w:type="pct"/>
            <w:vMerge w:val="restart"/>
            <w:shd w:val="clear" w:color="auto" w:fill="D8D8D8" w:themeFill="background1" w:themeFillShade="D9"/>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企业名称</w:t>
            </w:r>
          </w:p>
        </w:tc>
        <w:tc>
          <w:tcPr>
            <w:tcW w:w="2031" w:type="pct"/>
            <w:gridSpan w:val="2"/>
            <w:shd w:val="clear" w:color="auto" w:fill="D8D8D8" w:themeFill="background1" w:themeFillShade="D9"/>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主营业务收入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vMerge w:val="continue"/>
            <w:shd w:val="clear" w:color="auto" w:fill="D8D8D8" w:themeFill="background1" w:themeFillShade="D9"/>
            <w:vAlign w:val="center"/>
          </w:tcPr>
          <w:p>
            <w:pPr>
              <w:pStyle w:val="32"/>
              <w:spacing w:line="560" w:lineRule="exact"/>
              <w:ind w:firstLine="0" w:firstLineChars="0"/>
              <w:jc w:val="center"/>
              <w:rPr>
                <w:rFonts w:ascii="Times New Roman" w:hAnsi="Times New Roman" w:eastAsia="仿宋"/>
                <w:sz w:val="24"/>
                <w:szCs w:val="24"/>
              </w:rPr>
            </w:pPr>
          </w:p>
        </w:tc>
        <w:tc>
          <w:tcPr>
            <w:tcW w:w="2497" w:type="pct"/>
            <w:vMerge w:val="continue"/>
            <w:shd w:val="clear" w:color="auto" w:fill="D8D8D8" w:themeFill="background1" w:themeFillShade="D9"/>
            <w:vAlign w:val="center"/>
          </w:tcPr>
          <w:p>
            <w:pPr>
              <w:pStyle w:val="32"/>
              <w:spacing w:line="560" w:lineRule="exact"/>
              <w:ind w:firstLine="0" w:firstLineChars="0"/>
              <w:jc w:val="center"/>
              <w:rPr>
                <w:rFonts w:ascii="Times New Roman" w:hAnsi="Times New Roman" w:eastAsia="仿宋"/>
                <w:sz w:val="24"/>
                <w:szCs w:val="24"/>
              </w:rPr>
            </w:pPr>
          </w:p>
        </w:tc>
        <w:tc>
          <w:tcPr>
            <w:tcW w:w="1015" w:type="pct"/>
            <w:shd w:val="clear" w:color="auto" w:fill="D8D8D8" w:themeFill="background1" w:themeFillShade="D9"/>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2015年</w:t>
            </w:r>
          </w:p>
        </w:tc>
        <w:tc>
          <w:tcPr>
            <w:tcW w:w="1016" w:type="pct"/>
            <w:shd w:val="clear" w:color="auto" w:fill="D8D8D8" w:themeFill="background1" w:themeFillShade="D9"/>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2020年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横店集团东磁</w:t>
            </w:r>
            <w:r>
              <w:rPr>
                <w:rFonts w:hint="eastAsia" w:ascii="Times New Roman" w:hAnsi="Times New Roman" w:eastAsia="仿宋"/>
                <w:sz w:val="24"/>
                <w:szCs w:val="24"/>
              </w:rPr>
              <w:t>股份</w:t>
            </w:r>
            <w:r>
              <w:rPr>
                <w:rFonts w:ascii="Times New Roman" w:hAnsi="Times New Roman" w:eastAsia="仿宋"/>
                <w:sz w:val="24"/>
                <w:szCs w:val="24"/>
              </w:rPr>
              <w:t>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50亿元以上</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100亿元以上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2</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浙江英洛华磁业有限公司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5-10亿元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10-20亿元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3</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浙江</w:t>
            </w:r>
            <w:r>
              <w:rPr>
                <w:rFonts w:hint="eastAsia" w:ascii="Times New Roman" w:hAnsi="Times New Roman" w:eastAsia="仿宋"/>
                <w:sz w:val="24"/>
                <w:szCs w:val="24"/>
              </w:rPr>
              <w:t>凯文磁钢</w:t>
            </w:r>
            <w:r>
              <w:rPr>
                <w:rFonts w:ascii="Times New Roman" w:hAnsi="Times New Roman" w:eastAsia="仿宋"/>
                <w:sz w:val="24"/>
                <w:szCs w:val="24"/>
              </w:rPr>
              <w:t>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5-10亿元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4</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浙江全方音响科技有限公司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5-10亿元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5</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横店集团英洛华</w:t>
            </w:r>
            <w:r>
              <w:rPr>
                <w:rFonts w:hint="eastAsia" w:ascii="Times New Roman" w:hAnsi="Times New Roman" w:eastAsia="仿宋"/>
                <w:sz w:val="24"/>
                <w:szCs w:val="24"/>
              </w:rPr>
              <w:t>电子</w:t>
            </w:r>
            <w:r>
              <w:rPr>
                <w:rFonts w:ascii="Times New Roman" w:hAnsi="Times New Roman" w:eastAsia="仿宋"/>
                <w:sz w:val="24"/>
                <w:szCs w:val="24"/>
              </w:rPr>
              <w:t>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5-10亿元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hint="eastAsia" w:ascii="Times New Roman" w:hAnsi="Times New Roman" w:eastAsia="仿宋"/>
                <w:sz w:val="24"/>
                <w:szCs w:val="24"/>
              </w:rPr>
              <w:t>6</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浙江明凯照明有限公司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5-10亿元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7</w:t>
            </w:r>
          </w:p>
        </w:tc>
        <w:tc>
          <w:tcPr>
            <w:tcW w:w="2497" w:type="pct"/>
          </w:tcPr>
          <w:p>
            <w:pPr>
              <w:pStyle w:val="32"/>
              <w:spacing w:line="560" w:lineRule="exact"/>
              <w:ind w:firstLine="0" w:firstLineChars="0"/>
              <w:rPr>
                <w:rFonts w:ascii="Times New Roman" w:hAnsi="Times New Roman" w:eastAsia="仿宋"/>
                <w:sz w:val="24"/>
                <w:szCs w:val="24"/>
              </w:rPr>
            </w:pPr>
            <w:r>
              <w:rPr>
                <w:rFonts w:hint="eastAsia" w:ascii="Times New Roman" w:hAnsi="Times New Roman" w:eastAsia="仿宋"/>
                <w:sz w:val="24"/>
                <w:szCs w:val="24"/>
              </w:rPr>
              <w:t>花园金波科技股份有限公司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5-10亿元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8</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浙江中元磁业股份有限公司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9</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浙江南磁实业股份有限公司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10</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东阳市禹磁实业有限公司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11</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东阳市顶峰磁材有限公司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12</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浙江中科磁业有限公司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2" w:type="pct"/>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13</w:t>
            </w:r>
          </w:p>
        </w:tc>
        <w:tc>
          <w:tcPr>
            <w:tcW w:w="2497" w:type="pct"/>
          </w:tcPr>
          <w:p>
            <w:pPr>
              <w:pStyle w:val="32"/>
              <w:spacing w:line="560" w:lineRule="exact"/>
              <w:ind w:firstLine="0" w:firstLineChars="0"/>
              <w:rPr>
                <w:rFonts w:ascii="Times New Roman" w:hAnsi="Times New Roman" w:eastAsia="仿宋"/>
                <w:sz w:val="24"/>
                <w:szCs w:val="24"/>
              </w:rPr>
            </w:pPr>
            <w:r>
              <w:rPr>
                <w:rFonts w:ascii="Times New Roman" w:hAnsi="Times New Roman" w:eastAsia="仿宋"/>
                <w:sz w:val="24"/>
                <w:szCs w:val="24"/>
              </w:rPr>
              <w:t>东阳市万利电子有限公司</w:t>
            </w:r>
          </w:p>
        </w:tc>
        <w:tc>
          <w:tcPr>
            <w:tcW w:w="1015"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c>
          <w:tcPr>
            <w:tcW w:w="1016" w:type="pct"/>
            <w:vAlign w:val="center"/>
          </w:tcPr>
          <w:p>
            <w:pPr>
              <w:pStyle w:val="32"/>
              <w:spacing w:line="560" w:lineRule="exact"/>
              <w:ind w:firstLine="0" w:firstLineChars="0"/>
              <w:jc w:val="center"/>
              <w:rPr>
                <w:rFonts w:ascii="Times New Roman" w:hAnsi="Times New Roman" w:eastAsia="仿宋"/>
                <w:sz w:val="24"/>
                <w:szCs w:val="24"/>
              </w:rPr>
            </w:pPr>
            <w:r>
              <w:rPr>
                <w:rFonts w:ascii="Times New Roman" w:hAnsi="Times New Roman" w:eastAsia="仿宋"/>
                <w:sz w:val="24"/>
                <w:szCs w:val="24"/>
              </w:rPr>
              <w:t>1-5亿元</w:t>
            </w:r>
          </w:p>
        </w:tc>
      </w:tr>
    </w:tbl>
    <w:p>
      <w:pPr>
        <w:pStyle w:val="32"/>
        <w:spacing w:line="560" w:lineRule="exact"/>
        <w:ind w:firstLine="0" w:firstLineChars="0"/>
        <w:rPr>
          <w:rFonts w:ascii="Times New Roman" w:hAnsi="Times New Roman"/>
        </w:rPr>
      </w:pPr>
    </w:p>
    <w:p>
      <w:pPr>
        <w:widowControl/>
        <w:ind w:firstLine="0" w:firstLineChars="0"/>
        <w:jc w:val="left"/>
        <w:rPr>
          <w:rFonts w:ascii="Times New Roman" w:hAnsi="Times New Roman" w:eastAsia="仿宋_GB2312"/>
          <w:szCs w:val="32"/>
        </w:rPr>
      </w:pPr>
      <w:r>
        <w:rPr>
          <w:rFonts w:ascii="Times New Roman" w:hAnsi="Times New Roman"/>
        </w:rPr>
        <w:br w:type="page"/>
      </w:r>
    </w:p>
    <w:p>
      <w:pPr>
        <w:pStyle w:val="2"/>
      </w:pPr>
      <w:bookmarkStart w:id="165" w:name="_Toc475457004"/>
      <w:bookmarkStart w:id="166" w:name="_Toc475457220"/>
      <w:bookmarkStart w:id="167" w:name="_Toc475457359"/>
      <w:r>
        <w:rPr>
          <w:rFonts w:hint="eastAsia"/>
        </w:rPr>
        <w:t>附件2</w:t>
      </w:r>
      <w:r>
        <w:t xml:space="preserve"> </w:t>
      </w:r>
      <w:r>
        <w:rPr>
          <w:rFonts w:hint="eastAsia"/>
        </w:rPr>
        <w:t>磁性电子产业“十三五”期间重点项目</w:t>
      </w:r>
      <w:bookmarkEnd w:id="165"/>
      <w:bookmarkEnd w:id="166"/>
      <w:bookmarkEnd w:id="167"/>
    </w:p>
    <w:p>
      <w:pPr>
        <w:pStyle w:val="35"/>
        <w:spacing w:line="240" w:lineRule="auto"/>
        <w:ind w:firstLine="360"/>
        <w:rPr>
          <w:sz w:val="18"/>
          <w:szCs w:val="18"/>
        </w:rPr>
      </w:pPr>
    </w:p>
    <w:p>
      <w:pPr>
        <w:pStyle w:val="41"/>
        <w:rPr>
          <w:sz w:val="28"/>
          <w:shd w:val="clear" w:color="auto" w:fill="auto"/>
        </w:rPr>
      </w:pPr>
      <w:r>
        <w:rPr>
          <w:rFonts w:hint="eastAsia"/>
          <w:sz w:val="28"/>
          <w:shd w:val="clear" w:color="auto" w:fill="auto"/>
        </w:rPr>
        <w:t>附表2</w:t>
      </w:r>
      <w:r>
        <w:rPr>
          <w:sz w:val="28"/>
          <w:shd w:val="clear" w:color="auto" w:fill="auto"/>
        </w:rPr>
        <w:t xml:space="preserve"> </w:t>
      </w:r>
      <w:r>
        <w:rPr>
          <w:rFonts w:hint="eastAsia"/>
          <w:sz w:val="28"/>
          <w:shd w:val="clear" w:color="auto" w:fill="auto"/>
        </w:rPr>
        <w:t>磁性电子产业“十三五”期间重点项目表</w:t>
      </w:r>
    </w:p>
    <w:tbl>
      <w:tblPr>
        <w:tblStyle w:val="15"/>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1452"/>
        <w:gridCol w:w="2626"/>
        <w:gridCol w:w="1292"/>
        <w:gridCol w:w="1329"/>
        <w:gridCol w:w="124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BFBFBF"/>
            <w:vAlign w:val="center"/>
          </w:tcPr>
          <w:p>
            <w:pPr>
              <w:widowControl/>
              <w:ind w:firstLine="0" w:firstLineChars="0"/>
              <w:jc w:val="center"/>
              <w:rPr>
                <w:rFonts w:ascii="Times New Roman" w:hAnsi="Times New Roman"/>
                <w:b/>
                <w:sz w:val="24"/>
                <w:szCs w:val="24"/>
              </w:rPr>
            </w:pPr>
            <w:r>
              <w:rPr>
                <w:rFonts w:ascii="Times New Roman" w:hAnsi="Times New Roman"/>
                <w:b/>
                <w:sz w:val="24"/>
                <w:szCs w:val="24"/>
              </w:rPr>
              <w:t>序号</w:t>
            </w:r>
          </w:p>
        </w:tc>
        <w:tc>
          <w:tcPr>
            <w:tcW w:w="852" w:type="pct"/>
            <w:shd w:val="clear" w:color="auto" w:fill="BFBFBF"/>
            <w:vAlign w:val="center"/>
          </w:tcPr>
          <w:p>
            <w:pPr>
              <w:widowControl/>
              <w:ind w:firstLine="0" w:firstLineChars="0"/>
              <w:jc w:val="center"/>
              <w:rPr>
                <w:rFonts w:ascii="Times New Roman" w:hAnsi="Times New Roman"/>
                <w:b/>
                <w:sz w:val="24"/>
                <w:szCs w:val="24"/>
              </w:rPr>
            </w:pPr>
            <w:r>
              <w:rPr>
                <w:rFonts w:ascii="Times New Roman" w:hAnsi="Times New Roman"/>
                <w:b/>
                <w:sz w:val="24"/>
                <w:szCs w:val="24"/>
              </w:rPr>
              <w:t>企业名称</w:t>
            </w:r>
          </w:p>
        </w:tc>
        <w:tc>
          <w:tcPr>
            <w:tcW w:w="1541" w:type="pct"/>
            <w:shd w:val="clear" w:color="auto" w:fill="BFBFBF"/>
            <w:vAlign w:val="center"/>
          </w:tcPr>
          <w:p>
            <w:pPr>
              <w:widowControl/>
              <w:ind w:firstLine="0" w:firstLineChars="0"/>
              <w:jc w:val="center"/>
              <w:rPr>
                <w:rFonts w:ascii="Times New Roman" w:hAnsi="Times New Roman"/>
                <w:b/>
                <w:sz w:val="24"/>
                <w:szCs w:val="24"/>
              </w:rPr>
            </w:pPr>
            <w:r>
              <w:rPr>
                <w:rFonts w:ascii="Times New Roman" w:hAnsi="Times New Roman"/>
                <w:b/>
                <w:sz w:val="24"/>
                <w:szCs w:val="24"/>
              </w:rPr>
              <w:t>项目名称</w:t>
            </w:r>
          </w:p>
        </w:tc>
        <w:tc>
          <w:tcPr>
            <w:tcW w:w="758" w:type="pct"/>
            <w:shd w:val="clear" w:color="auto" w:fill="BFBFBF"/>
            <w:vAlign w:val="center"/>
          </w:tcPr>
          <w:p>
            <w:pPr>
              <w:widowControl/>
              <w:ind w:firstLine="0" w:firstLineChars="0"/>
              <w:jc w:val="center"/>
              <w:rPr>
                <w:rFonts w:ascii="Times New Roman" w:hAnsi="Times New Roman"/>
                <w:b/>
                <w:sz w:val="24"/>
                <w:szCs w:val="24"/>
              </w:rPr>
            </w:pPr>
            <w:r>
              <w:rPr>
                <w:rFonts w:ascii="Times New Roman" w:hAnsi="Times New Roman"/>
                <w:b/>
                <w:sz w:val="24"/>
                <w:szCs w:val="24"/>
              </w:rPr>
              <w:t>计划投资额(亿元)</w:t>
            </w:r>
          </w:p>
        </w:tc>
        <w:tc>
          <w:tcPr>
            <w:tcW w:w="780" w:type="pct"/>
            <w:shd w:val="clear" w:color="auto" w:fill="BFBFBF"/>
            <w:vAlign w:val="center"/>
          </w:tcPr>
          <w:p>
            <w:pPr>
              <w:widowControl/>
              <w:ind w:firstLine="0" w:firstLineChars="0"/>
              <w:jc w:val="center"/>
              <w:rPr>
                <w:rFonts w:ascii="Times New Roman" w:hAnsi="Times New Roman"/>
                <w:b/>
                <w:sz w:val="24"/>
                <w:szCs w:val="24"/>
              </w:rPr>
            </w:pPr>
            <w:r>
              <w:rPr>
                <w:rFonts w:ascii="Times New Roman" w:hAnsi="Times New Roman"/>
                <w:b/>
                <w:sz w:val="24"/>
                <w:szCs w:val="24"/>
              </w:rPr>
              <w:t>起止年限</w:t>
            </w:r>
          </w:p>
        </w:tc>
        <w:tc>
          <w:tcPr>
            <w:tcW w:w="731" w:type="pct"/>
            <w:shd w:val="clear" w:color="auto" w:fill="BFBFBF"/>
            <w:vAlign w:val="center"/>
          </w:tcPr>
          <w:p>
            <w:pPr>
              <w:widowControl/>
              <w:ind w:firstLine="0" w:firstLineChars="0"/>
              <w:jc w:val="center"/>
              <w:rPr>
                <w:rFonts w:ascii="Times New Roman" w:hAnsi="Times New Roman"/>
                <w:b/>
                <w:sz w:val="24"/>
                <w:szCs w:val="24"/>
              </w:rPr>
            </w:pPr>
            <w:r>
              <w:rPr>
                <w:rFonts w:ascii="Times New Roman" w:hAnsi="Times New Roman"/>
                <w:b/>
                <w:sz w:val="24"/>
                <w:szCs w:val="24"/>
              </w:rPr>
              <w:t>所在区域</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1</w:t>
            </w:r>
          </w:p>
        </w:tc>
        <w:tc>
          <w:tcPr>
            <w:tcW w:w="852"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招商局</w:t>
            </w:r>
          </w:p>
        </w:tc>
        <w:tc>
          <w:tcPr>
            <w:tcW w:w="1541"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磁性材料产业链优化项目</w:t>
            </w:r>
          </w:p>
        </w:tc>
        <w:tc>
          <w:tcPr>
            <w:tcW w:w="75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17</w:t>
            </w:r>
          </w:p>
        </w:tc>
        <w:tc>
          <w:tcPr>
            <w:tcW w:w="780"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2016-2020</w:t>
            </w:r>
          </w:p>
        </w:tc>
        <w:tc>
          <w:tcPr>
            <w:tcW w:w="731"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东阳市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w:t>
            </w:r>
          </w:p>
        </w:tc>
        <w:tc>
          <w:tcPr>
            <w:tcW w:w="852"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横店集团东磁股份有限公司</w:t>
            </w:r>
          </w:p>
        </w:tc>
        <w:tc>
          <w:tcPr>
            <w:tcW w:w="1541" w:type="pct"/>
            <w:shd w:val="clear" w:color="auto" w:fill="auto"/>
            <w:vAlign w:val="center"/>
          </w:tcPr>
          <w:p>
            <w:pPr>
              <w:ind w:firstLine="0" w:firstLineChars="0"/>
              <w:rPr>
                <w:rFonts w:ascii="Times New Roman" w:hAnsi="Times New Roman"/>
                <w:sz w:val="24"/>
                <w:szCs w:val="24"/>
              </w:rPr>
            </w:pPr>
            <w:r>
              <w:rPr>
                <w:rFonts w:hint="eastAsia" w:ascii="Times New Roman" w:hAnsi="Times New Roman"/>
                <w:sz w:val="24"/>
                <w:szCs w:val="24"/>
              </w:rPr>
              <w:t>横店集团东磁股份有限公司年产6GWh高容量锂离子动力电池</w:t>
            </w:r>
          </w:p>
        </w:tc>
        <w:tc>
          <w:tcPr>
            <w:tcW w:w="75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30</w:t>
            </w:r>
          </w:p>
        </w:tc>
        <w:tc>
          <w:tcPr>
            <w:tcW w:w="780"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2016-2019</w:t>
            </w:r>
          </w:p>
        </w:tc>
        <w:tc>
          <w:tcPr>
            <w:tcW w:w="731"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横店镇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3</w:t>
            </w:r>
          </w:p>
        </w:tc>
        <w:tc>
          <w:tcPr>
            <w:tcW w:w="852" w:type="pct"/>
            <w:shd w:val="clear" w:color="auto" w:fill="auto"/>
            <w:vAlign w:val="center"/>
          </w:tcPr>
          <w:p>
            <w:pPr>
              <w:ind w:firstLine="0" w:firstLineChars="0"/>
              <w:rPr>
                <w:rFonts w:ascii="Times New Roman" w:hAnsi="Times New Roman"/>
                <w:sz w:val="24"/>
                <w:szCs w:val="24"/>
              </w:rPr>
            </w:pPr>
            <w:r>
              <w:rPr>
                <w:rFonts w:hint="eastAsia" w:ascii="Times New Roman" w:hAnsi="Times New Roman"/>
                <w:sz w:val="24"/>
                <w:szCs w:val="24"/>
              </w:rPr>
              <w:t>花园金波科技股份有限公司</w:t>
            </w:r>
          </w:p>
        </w:tc>
        <w:tc>
          <w:tcPr>
            <w:tcW w:w="1541" w:type="pct"/>
            <w:shd w:val="clear" w:color="auto" w:fill="auto"/>
            <w:vAlign w:val="center"/>
          </w:tcPr>
          <w:p>
            <w:pPr>
              <w:ind w:firstLine="0" w:firstLineChars="0"/>
              <w:rPr>
                <w:rFonts w:ascii="Times New Roman" w:hAnsi="Times New Roman"/>
                <w:sz w:val="24"/>
                <w:szCs w:val="24"/>
                <w:highlight w:val="yellow"/>
              </w:rPr>
            </w:pPr>
            <w:r>
              <w:rPr>
                <w:rFonts w:hint="eastAsia" w:ascii="Times New Roman" w:hAnsi="Times New Roman"/>
                <w:sz w:val="24"/>
                <w:szCs w:val="24"/>
              </w:rPr>
              <w:t>花园金波科技股份有限公司</w:t>
            </w:r>
            <w:r>
              <w:rPr>
                <w:rFonts w:ascii="Times New Roman" w:hAnsi="Times New Roman"/>
                <w:sz w:val="24"/>
                <w:szCs w:val="24"/>
              </w:rPr>
              <w:t>年产1000万片智能芯片生产线项目</w:t>
            </w:r>
          </w:p>
        </w:tc>
        <w:tc>
          <w:tcPr>
            <w:tcW w:w="758" w:type="pct"/>
            <w:shd w:val="clear" w:color="auto" w:fill="auto"/>
            <w:vAlign w:val="center"/>
          </w:tcPr>
          <w:p>
            <w:pPr>
              <w:ind w:firstLine="0" w:firstLineChars="0"/>
              <w:jc w:val="center"/>
              <w:rPr>
                <w:rFonts w:ascii="Times New Roman" w:hAnsi="Times New Roman"/>
                <w:sz w:val="24"/>
                <w:szCs w:val="24"/>
                <w:highlight w:val="yellow"/>
              </w:rPr>
            </w:pPr>
            <w:r>
              <w:rPr>
                <w:rFonts w:ascii="Times New Roman" w:hAnsi="Times New Roman"/>
                <w:sz w:val="24"/>
                <w:szCs w:val="24"/>
              </w:rPr>
              <w:t>3</w:t>
            </w:r>
          </w:p>
        </w:tc>
        <w:tc>
          <w:tcPr>
            <w:tcW w:w="780" w:type="pct"/>
            <w:shd w:val="clear" w:color="auto" w:fill="auto"/>
            <w:vAlign w:val="center"/>
          </w:tcPr>
          <w:p>
            <w:pPr>
              <w:ind w:firstLine="0" w:firstLineChars="0"/>
              <w:jc w:val="center"/>
              <w:rPr>
                <w:rFonts w:ascii="Times New Roman" w:hAnsi="Times New Roman"/>
                <w:sz w:val="24"/>
                <w:szCs w:val="24"/>
                <w:highlight w:val="yellow"/>
              </w:rPr>
            </w:pPr>
            <w:r>
              <w:rPr>
                <w:rFonts w:ascii="Times New Roman" w:hAnsi="Times New Roman"/>
                <w:sz w:val="24"/>
                <w:szCs w:val="24"/>
              </w:rPr>
              <w:t>2015-2017</w:t>
            </w:r>
          </w:p>
        </w:tc>
        <w:tc>
          <w:tcPr>
            <w:tcW w:w="731" w:type="pct"/>
            <w:shd w:val="clear" w:color="auto" w:fill="auto"/>
            <w:vAlign w:val="center"/>
          </w:tcPr>
          <w:p>
            <w:pPr>
              <w:ind w:firstLine="0" w:firstLineChars="0"/>
              <w:jc w:val="center"/>
              <w:rPr>
                <w:rFonts w:ascii="Times New Roman" w:hAnsi="Times New Roman"/>
                <w:sz w:val="24"/>
                <w:szCs w:val="24"/>
                <w:highlight w:val="yellow"/>
              </w:rPr>
            </w:pPr>
            <w:r>
              <w:rPr>
                <w:rFonts w:ascii="Times New Roman" w:hAnsi="Times New Roman"/>
                <w:sz w:val="24"/>
                <w:szCs w:val="24"/>
              </w:rPr>
              <w:t>南马镇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4</w:t>
            </w:r>
          </w:p>
        </w:tc>
        <w:tc>
          <w:tcPr>
            <w:tcW w:w="852"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横店集团东磁股份有限公司</w:t>
            </w:r>
          </w:p>
        </w:tc>
        <w:tc>
          <w:tcPr>
            <w:tcW w:w="1541"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永磁材料生产自动化、智能化、网络信息化融合提升改造示范项目</w:t>
            </w:r>
          </w:p>
        </w:tc>
        <w:tc>
          <w:tcPr>
            <w:tcW w:w="75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2.7</w:t>
            </w:r>
          </w:p>
        </w:tc>
        <w:tc>
          <w:tcPr>
            <w:tcW w:w="780"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2016-2020</w:t>
            </w:r>
          </w:p>
        </w:tc>
        <w:tc>
          <w:tcPr>
            <w:tcW w:w="731"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横店镇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5</w:t>
            </w:r>
          </w:p>
        </w:tc>
        <w:tc>
          <w:tcPr>
            <w:tcW w:w="852"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东阳市鸿铭磁业有限公司</w:t>
            </w:r>
          </w:p>
        </w:tc>
        <w:tc>
          <w:tcPr>
            <w:tcW w:w="1541"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年产2000吨高性能钕铁硼永磁铁氧气体</w:t>
            </w:r>
          </w:p>
        </w:tc>
        <w:tc>
          <w:tcPr>
            <w:tcW w:w="758"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1.8</w:t>
            </w:r>
          </w:p>
        </w:tc>
        <w:tc>
          <w:tcPr>
            <w:tcW w:w="780"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2016-2020</w:t>
            </w:r>
          </w:p>
        </w:tc>
        <w:tc>
          <w:tcPr>
            <w:tcW w:w="731"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开发区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6</w:t>
            </w:r>
          </w:p>
        </w:tc>
        <w:tc>
          <w:tcPr>
            <w:tcW w:w="852"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横店集团东磁股份有限公司</w:t>
            </w:r>
          </w:p>
        </w:tc>
        <w:tc>
          <w:tcPr>
            <w:tcW w:w="1541"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横店集团东磁股份年产3600吨高性能合金磁粉芯制粉产业化项目</w:t>
            </w:r>
          </w:p>
        </w:tc>
        <w:tc>
          <w:tcPr>
            <w:tcW w:w="758"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1.6</w:t>
            </w:r>
          </w:p>
        </w:tc>
        <w:tc>
          <w:tcPr>
            <w:tcW w:w="780"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2016-2019</w:t>
            </w:r>
          </w:p>
        </w:tc>
        <w:tc>
          <w:tcPr>
            <w:tcW w:w="731"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横店镇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7</w:t>
            </w:r>
          </w:p>
        </w:tc>
        <w:tc>
          <w:tcPr>
            <w:tcW w:w="852"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浙江英洛华磁业有限公司</w:t>
            </w:r>
          </w:p>
        </w:tc>
        <w:tc>
          <w:tcPr>
            <w:tcW w:w="1541"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浙江英洛华磁业有限公司新能源汽车动力电机用高性能磁体研发与产业化项目</w:t>
            </w:r>
          </w:p>
        </w:tc>
        <w:tc>
          <w:tcPr>
            <w:tcW w:w="75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1.3</w:t>
            </w:r>
          </w:p>
        </w:tc>
        <w:tc>
          <w:tcPr>
            <w:tcW w:w="780"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2015-2016</w:t>
            </w:r>
          </w:p>
        </w:tc>
        <w:tc>
          <w:tcPr>
            <w:tcW w:w="731"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横店镇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8</w:t>
            </w:r>
          </w:p>
        </w:tc>
        <w:tc>
          <w:tcPr>
            <w:tcW w:w="852"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浙江英洛华磁业有限公司</w:t>
            </w:r>
          </w:p>
        </w:tc>
        <w:tc>
          <w:tcPr>
            <w:tcW w:w="1541"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浙江英洛华磁业有限公司钕铁硼磁钢电镀生产线搬迁技改项目</w:t>
            </w:r>
          </w:p>
        </w:tc>
        <w:tc>
          <w:tcPr>
            <w:tcW w:w="75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1.2</w:t>
            </w:r>
          </w:p>
        </w:tc>
        <w:tc>
          <w:tcPr>
            <w:tcW w:w="780"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2014-2017</w:t>
            </w:r>
          </w:p>
        </w:tc>
        <w:tc>
          <w:tcPr>
            <w:tcW w:w="731"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横店镇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9</w:t>
            </w:r>
          </w:p>
        </w:tc>
        <w:tc>
          <w:tcPr>
            <w:tcW w:w="852" w:type="pct"/>
            <w:shd w:val="clear" w:color="auto" w:fill="auto"/>
            <w:vAlign w:val="center"/>
          </w:tcPr>
          <w:p>
            <w:pPr>
              <w:ind w:firstLine="0" w:firstLineChars="0"/>
              <w:rPr>
                <w:rFonts w:ascii="Times New Roman" w:hAnsi="Times New Roman"/>
                <w:sz w:val="24"/>
                <w:szCs w:val="24"/>
              </w:rPr>
            </w:pPr>
            <w:r>
              <w:rPr>
                <w:rFonts w:hint="eastAsia" w:ascii="Times New Roman" w:hAnsi="Times New Roman"/>
                <w:sz w:val="24"/>
                <w:szCs w:val="24"/>
              </w:rPr>
              <w:t>花园金波科技股份有限公司</w:t>
            </w:r>
          </w:p>
        </w:tc>
        <w:tc>
          <w:tcPr>
            <w:tcW w:w="1541" w:type="pct"/>
            <w:shd w:val="clear" w:color="auto" w:fill="auto"/>
            <w:vAlign w:val="center"/>
          </w:tcPr>
          <w:p>
            <w:pPr>
              <w:ind w:firstLine="0" w:firstLineChars="0"/>
              <w:rPr>
                <w:rFonts w:ascii="Times New Roman" w:hAnsi="Times New Roman"/>
                <w:sz w:val="24"/>
                <w:szCs w:val="24"/>
              </w:rPr>
            </w:pPr>
            <w:r>
              <w:rPr>
                <w:rFonts w:hint="eastAsia" w:ascii="Times New Roman" w:hAnsi="Times New Roman"/>
                <w:sz w:val="24"/>
                <w:szCs w:val="24"/>
              </w:rPr>
              <w:t>花园金波科技股份有限公司</w:t>
            </w:r>
            <w:r>
              <w:rPr>
                <w:rFonts w:ascii="Times New Roman" w:hAnsi="Times New Roman"/>
                <w:sz w:val="24"/>
                <w:szCs w:val="24"/>
              </w:rPr>
              <w:t>SMT表面贴装生产线项目</w:t>
            </w:r>
          </w:p>
        </w:tc>
        <w:tc>
          <w:tcPr>
            <w:tcW w:w="75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1.2</w:t>
            </w:r>
          </w:p>
        </w:tc>
        <w:tc>
          <w:tcPr>
            <w:tcW w:w="780"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2015-2017</w:t>
            </w:r>
          </w:p>
        </w:tc>
        <w:tc>
          <w:tcPr>
            <w:tcW w:w="731"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南马镇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noWrap/>
            <w:vAlign w:val="center"/>
          </w:tcPr>
          <w:p>
            <w:pPr>
              <w:ind w:firstLine="0" w:firstLineChars="0"/>
              <w:jc w:val="center"/>
              <w:rPr>
                <w:rFonts w:ascii="Times New Roman" w:hAnsi="Times New Roman"/>
                <w:sz w:val="24"/>
                <w:szCs w:val="24"/>
              </w:rPr>
            </w:pPr>
            <w:r>
              <w:rPr>
                <w:rFonts w:ascii="Times New Roman" w:hAnsi="Times New Roman"/>
                <w:sz w:val="24"/>
                <w:szCs w:val="24"/>
              </w:rPr>
              <w:t>10</w:t>
            </w:r>
          </w:p>
        </w:tc>
        <w:tc>
          <w:tcPr>
            <w:tcW w:w="852"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横店集团东磁股份有限公司</w:t>
            </w:r>
          </w:p>
        </w:tc>
        <w:tc>
          <w:tcPr>
            <w:tcW w:w="1541"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横店集团东磁股份永磁铁氧体磁瓦生产线改造</w:t>
            </w:r>
          </w:p>
        </w:tc>
        <w:tc>
          <w:tcPr>
            <w:tcW w:w="75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1</w:t>
            </w:r>
          </w:p>
        </w:tc>
        <w:tc>
          <w:tcPr>
            <w:tcW w:w="780"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2016-2019</w:t>
            </w:r>
          </w:p>
        </w:tc>
        <w:tc>
          <w:tcPr>
            <w:tcW w:w="731"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横店镇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3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11</w:t>
            </w:r>
          </w:p>
        </w:tc>
        <w:tc>
          <w:tcPr>
            <w:tcW w:w="852"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横店集团东磁股份有限公司</w:t>
            </w:r>
          </w:p>
        </w:tc>
        <w:tc>
          <w:tcPr>
            <w:tcW w:w="1541" w:type="pct"/>
            <w:shd w:val="clear" w:color="auto" w:fill="auto"/>
            <w:vAlign w:val="center"/>
          </w:tcPr>
          <w:p>
            <w:pPr>
              <w:ind w:firstLine="0" w:firstLineChars="0"/>
              <w:rPr>
                <w:rFonts w:ascii="Times New Roman" w:hAnsi="Times New Roman"/>
                <w:sz w:val="24"/>
                <w:szCs w:val="24"/>
              </w:rPr>
            </w:pPr>
            <w:r>
              <w:rPr>
                <w:rFonts w:ascii="Times New Roman" w:hAnsi="Times New Roman"/>
                <w:sz w:val="24"/>
                <w:szCs w:val="24"/>
              </w:rPr>
              <w:t>横店集团东磁股份无线充电专用软磁材料及器件项目</w:t>
            </w:r>
          </w:p>
        </w:tc>
        <w:tc>
          <w:tcPr>
            <w:tcW w:w="758"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1</w:t>
            </w:r>
          </w:p>
        </w:tc>
        <w:tc>
          <w:tcPr>
            <w:tcW w:w="780"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2016-2020</w:t>
            </w:r>
          </w:p>
        </w:tc>
        <w:tc>
          <w:tcPr>
            <w:tcW w:w="731" w:type="pct"/>
            <w:shd w:val="clear" w:color="auto" w:fill="auto"/>
            <w:vAlign w:val="center"/>
          </w:tcPr>
          <w:p>
            <w:pPr>
              <w:ind w:firstLine="0" w:firstLineChars="0"/>
              <w:jc w:val="center"/>
              <w:rPr>
                <w:rFonts w:ascii="Times New Roman" w:hAnsi="Times New Roman"/>
                <w:sz w:val="24"/>
                <w:szCs w:val="24"/>
              </w:rPr>
            </w:pPr>
            <w:r>
              <w:rPr>
                <w:rFonts w:ascii="Times New Roman" w:hAnsi="Times New Roman"/>
                <w:sz w:val="24"/>
                <w:szCs w:val="24"/>
              </w:rPr>
              <w:t>横店镇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31" w:type="pct"/>
            <w:gridSpan w:val="3"/>
            <w:shd w:val="clear" w:color="auto" w:fill="auto"/>
            <w:vAlign w:val="center"/>
          </w:tcPr>
          <w:p>
            <w:pPr>
              <w:ind w:firstLine="0" w:firstLineChars="0"/>
              <w:jc w:val="center"/>
              <w:rPr>
                <w:rFonts w:ascii="Times New Roman" w:hAnsi="Times New Roman"/>
                <w:sz w:val="24"/>
                <w:szCs w:val="24"/>
              </w:rPr>
            </w:pPr>
            <w:r>
              <w:rPr>
                <w:rFonts w:hint="eastAsia" w:ascii="Times New Roman" w:hAnsi="Times New Roman"/>
                <w:sz w:val="24"/>
                <w:szCs w:val="24"/>
              </w:rPr>
              <w:t>合 计</w:t>
            </w:r>
          </w:p>
        </w:tc>
        <w:tc>
          <w:tcPr>
            <w:tcW w:w="758" w:type="pct"/>
            <w:shd w:val="clear" w:color="auto" w:fill="auto"/>
            <w:vAlign w:val="center"/>
          </w:tcPr>
          <w:p>
            <w:pPr>
              <w:ind w:firstLine="0" w:firstLineChars="0"/>
              <w:jc w:val="center"/>
              <w:rPr>
                <w:rFonts w:ascii="Times New Roman" w:hAnsi="Times New Roman"/>
                <w:sz w:val="24"/>
                <w:szCs w:val="24"/>
              </w:rPr>
            </w:pPr>
            <w:r>
              <w:rPr>
                <w:rFonts w:hint="eastAsia" w:ascii="Times New Roman" w:hAnsi="Times New Roman"/>
                <w:sz w:val="24"/>
                <w:szCs w:val="24"/>
              </w:rPr>
              <w:t>91.8</w:t>
            </w:r>
          </w:p>
        </w:tc>
        <w:tc>
          <w:tcPr>
            <w:tcW w:w="780" w:type="pct"/>
            <w:shd w:val="clear" w:color="auto" w:fill="auto"/>
            <w:vAlign w:val="center"/>
          </w:tcPr>
          <w:p>
            <w:pPr>
              <w:ind w:firstLine="0" w:firstLineChars="0"/>
              <w:jc w:val="center"/>
              <w:rPr>
                <w:rFonts w:ascii="Times New Roman" w:hAnsi="Times New Roman"/>
                <w:sz w:val="24"/>
                <w:szCs w:val="24"/>
              </w:rPr>
            </w:pPr>
          </w:p>
        </w:tc>
        <w:tc>
          <w:tcPr>
            <w:tcW w:w="731" w:type="pct"/>
            <w:shd w:val="clear" w:color="auto" w:fill="auto"/>
            <w:vAlign w:val="center"/>
          </w:tcPr>
          <w:p>
            <w:pPr>
              <w:ind w:firstLine="0" w:firstLineChars="0"/>
              <w:jc w:val="center"/>
              <w:rPr>
                <w:rFonts w:ascii="Times New Roman" w:hAnsi="Times New Roman"/>
                <w:sz w:val="24"/>
                <w:szCs w:val="24"/>
              </w:rPr>
            </w:pPr>
          </w:p>
        </w:tc>
      </w:tr>
    </w:tbl>
    <w:p>
      <w:pPr>
        <w:pStyle w:val="32"/>
        <w:spacing w:line="560" w:lineRule="exact"/>
        <w:ind w:firstLine="0" w:firstLineChars="0"/>
        <w:rPr>
          <w:rFonts w:ascii="Times New Roman" w:hAnsi="Times New Roman"/>
          <w:highlight w:val="yellow"/>
        </w:rPr>
        <w:sectPr>
          <w:footerReference r:id="rId12" w:type="default"/>
          <w:pgSz w:w="11906" w:h="16838"/>
          <w:pgMar w:top="1440" w:right="1800" w:bottom="1440" w:left="1800" w:header="851" w:footer="992" w:gutter="0"/>
          <w:pgNumType w:start="1"/>
          <w:cols w:space="425" w:num="1"/>
          <w:docGrid w:type="lines" w:linePitch="312" w:charSpace="0"/>
        </w:sectPr>
      </w:pPr>
    </w:p>
    <w:p>
      <w:pPr>
        <w:pStyle w:val="2"/>
      </w:pPr>
      <w:bookmarkStart w:id="168" w:name="_Toc475457360"/>
      <w:bookmarkStart w:id="169" w:name="_Toc475457221"/>
      <w:bookmarkStart w:id="170" w:name="_Toc475457005"/>
      <w:r>
        <w:rPr>
          <w:rFonts w:hint="eastAsia"/>
        </w:rPr>
        <w:t>附件3</w:t>
      </w:r>
      <w:r>
        <w:t xml:space="preserve"> </w:t>
      </w:r>
      <w:r>
        <w:rPr>
          <w:rFonts w:hint="eastAsia"/>
        </w:rPr>
        <w:t>“十三五”时期产值与用地情况测算</w:t>
      </w:r>
      <w:bookmarkEnd w:id="168"/>
      <w:bookmarkEnd w:id="169"/>
      <w:bookmarkEnd w:id="170"/>
    </w:p>
    <w:p>
      <w:pPr>
        <w:pStyle w:val="3"/>
        <w:rPr>
          <w:shd w:val="clear" w:color="auto" w:fill="auto"/>
        </w:rPr>
      </w:pPr>
      <w:bookmarkStart w:id="171" w:name="_Toc465348315"/>
      <w:bookmarkStart w:id="172" w:name="_Toc467576801"/>
      <w:bookmarkStart w:id="173" w:name="_Toc475457006"/>
      <w:bookmarkStart w:id="174" w:name="_Toc475457222"/>
      <w:bookmarkStart w:id="175" w:name="_Toc475457361"/>
      <w:r>
        <w:rPr>
          <w:rFonts w:hint="eastAsia"/>
          <w:shd w:val="clear" w:color="auto" w:fill="auto"/>
        </w:rPr>
        <w:t>（一）产值测算</w:t>
      </w:r>
      <w:bookmarkEnd w:id="171"/>
      <w:bookmarkEnd w:id="172"/>
      <w:bookmarkEnd w:id="173"/>
      <w:bookmarkEnd w:id="174"/>
      <w:bookmarkEnd w:id="175"/>
    </w:p>
    <w:p>
      <w:pPr>
        <w:pStyle w:val="35"/>
        <w:ind w:firstLine="640"/>
      </w:pPr>
      <w:r>
        <w:rPr>
          <w:rFonts w:hint="eastAsia"/>
        </w:rPr>
        <w:t>根据企业生产产品类别，对59家规上企业（2015年底数据）进行分类，根据发展重点的七个方面；参考全国各细分领域的“十三五”规划增速，结合东阳企业“十二五”的发展实际，并通盘考虑调研时企业反馈情况，提出到2020年磁性电子产业总产值确保达到260亿元，力争达到280亿元。其中，存量部分，确保达到190亿元，力争达到200亿元（具体测算情况见附表3）；增量部分，确保达到70亿元，力争80亿元。</w:t>
      </w:r>
    </w:p>
    <w:p>
      <w:pPr>
        <w:pStyle w:val="41"/>
      </w:pPr>
      <w:r>
        <w:rPr>
          <w:rFonts w:hint="eastAsia"/>
        </w:rPr>
        <w:t>附表3</w:t>
      </w:r>
      <w:r>
        <w:t xml:space="preserve"> </w:t>
      </w:r>
      <w:r>
        <w:rPr>
          <w:rFonts w:hint="eastAsia"/>
        </w:rPr>
        <w:t>“十三五”时期磁性电子产业规上总产值目标设定（存量部分）</w:t>
      </w:r>
    </w:p>
    <w:tbl>
      <w:tblPr>
        <w:tblStyle w:val="15"/>
        <w:tblW w:w="5000" w:type="pct"/>
        <w:tblInd w:w="0" w:type="dxa"/>
        <w:tblLayout w:type="autofit"/>
        <w:tblCellMar>
          <w:top w:w="0" w:type="dxa"/>
          <w:left w:w="108" w:type="dxa"/>
          <w:bottom w:w="0" w:type="dxa"/>
          <w:right w:w="108" w:type="dxa"/>
        </w:tblCellMar>
      </w:tblPr>
      <w:tblGrid>
        <w:gridCol w:w="1004"/>
        <w:gridCol w:w="1154"/>
        <w:gridCol w:w="833"/>
        <w:gridCol w:w="836"/>
        <w:gridCol w:w="921"/>
        <w:gridCol w:w="4349"/>
        <w:gridCol w:w="5077"/>
      </w:tblGrid>
      <w:tr>
        <w:tblPrEx>
          <w:tblCellMar>
            <w:top w:w="0" w:type="dxa"/>
            <w:left w:w="108" w:type="dxa"/>
            <w:bottom w:w="0" w:type="dxa"/>
            <w:right w:w="108" w:type="dxa"/>
          </w:tblCellMar>
        </w:tblPrEx>
        <w:trPr>
          <w:trHeight w:val="506" w:hRule="atLeast"/>
        </w:trPr>
        <w:tc>
          <w:tcPr>
            <w:tcW w:w="354" w:type="pct"/>
            <w:vMerge w:val="restart"/>
            <w:tcBorders>
              <w:top w:val="single" w:color="auto" w:sz="4" w:space="0"/>
              <w:left w:val="single" w:color="auto" w:sz="4" w:space="0"/>
              <w:right w:val="single" w:color="auto" w:sz="4" w:space="0"/>
            </w:tcBorders>
            <w:shd w:val="clear" w:color="auto" w:fill="D8D8D8" w:themeFill="background1" w:themeFillShade="D9"/>
            <w:vAlign w:val="center"/>
          </w:tcPr>
          <w:p>
            <w:pPr>
              <w:pStyle w:val="43"/>
              <w:jc w:val="center"/>
              <w:rPr>
                <w:b/>
              </w:rPr>
            </w:pPr>
            <w:r>
              <w:rPr>
                <w:b/>
              </w:rPr>
              <w:t>分类</w:t>
            </w:r>
          </w:p>
        </w:tc>
        <w:tc>
          <w:tcPr>
            <w:tcW w:w="407" w:type="pct"/>
            <w:vMerge w:val="restart"/>
            <w:tcBorders>
              <w:top w:val="single" w:color="auto" w:sz="4" w:space="0"/>
              <w:left w:val="nil"/>
              <w:right w:val="single" w:color="auto" w:sz="4" w:space="0"/>
            </w:tcBorders>
            <w:shd w:val="clear" w:color="auto" w:fill="D8D8D8" w:themeFill="background1" w:themeFillShade="D9"/>
            <w:vAlign w:val="center"/>
          </w:tcPr>
          <w:p>
            <w:pPr>
              <w:pStyle w:val="43"/>
              <w:jc w:val="center"/>
              <w:rPr>
                <w:b/>
              </w:rPr>
            </w:pPr>
            <w:r>
              <w:rPr>
                <w:b/>
              </w:rPr>
              <w:t>企业数（家）</w:t>
            </w:r>
          </w:p>
        </w:tc>
        <w:tc>
          <w:tcPr>
            <w:tcW w:w="589" w:type="pct"/>
            <w:gridSpan w:val="2"/>
            <w:tcBorders>
              <w:top w:val="single" w:color="auto" w:sz="4" w:space="0"/>
              <w:left w:val="nil"/>
              <w:bottom w:val="single" w:color="auto" w:sz="4" w:space="0"/>
              <w:right w:val="single" w:color="auto" w:sz="4" w:space="0"/>
            </w:tcBorders>
            <w:shd w:val="clear" w:color="auto" w:fill="D8D8D8" w:themeFill="background1" w:themeFillShade="D9"/>
            <w:vAlign w:val="center"/>
          </w:tcPr>
          <w:p>
            <w:pPr>
              <w:pStyle w:val="43"/>
              <w:rPr>
                <w:b/>
              </w:rPr>
            </w:pPr>
            <w:r>
              <w:rPr>
                <w:b/>
              </w:rPr>
              <w:t>产值（亿元）</w:t>
            </w:r>
          </w:p>
        </w:tc>
        <w:tc>
          <w:tcPr>
            <w:tcW w:w="325" w:type="pct"/>
            <w:vMerge w:val="restart"/>
            <w:tcBorders>
              <w:top w:val="single" w:color="auto" w:sz="4" w:space="0"/>
              <w:left w:val="nil"/>
              <w:right w:val="single" w:color="auto" w:sz="4" w:space="0"/>
            </w:tcBorders>
            <w:shd w:val="clear" w:color="auto" w:fill="D8D8D8" w:themeFill="background1" w:themeFillShade="D9"/>
            <w:vAlign w:val="center"/>
          </w:tcPr>
          <w:p>
            <w:pPr>
              <w:pStyle w:val="43"/>
              <w:jc w:val="center"/>
              <w:rPr>
                <w:b/>
              </w:rPr>
            </w:pPr>
            <w:r>
              <w:rPr>
                <w:b/>
              </w:rPr>
              <w:t>年均增速</w:t>
            </w:r>
          </w:p>
        </w:tc>
        <w:tc>
          <w:tcPr>
            <w:tcW w:w="1534" w:type="pct"/>
            <w:vMerge w:val="restart"/>
            <w:tcBorders>
              <w:top w:val="single" w:color="auto" w:sz="4" w:space="0"/>
              <w:left w:val="nil"/>
              <w:right w:val="single" w:color="auto" w:sz="4" w:space="0"/>
            </w:tcBorders>
            <w:shd w:val="clear" w:color="auto" w:fill="D8D8D8" w:themeFill="background1" w:themeFillShade="D9"/>
            <w:vAlign w:val="center"/>
          </w:tcPr>
          <w:p>
            <w:pPr>
              <w:pStyle w:val="43"/>
              <w:jc w:val="center"/>
              <w:rPr>
                <w:b/>
              </w:rPr>
            </w:pPr>
            <w:r>
              <w:rPr>
                <w:b/>
              </w:rPr>
              <w:t>增速设定说明</w:t>
            </w:r>
          </w:p>
        </w:tc>
        <w:tc>
          <w:tcPr>
            <w:tcW w:w="1791" w:type="pct"/>
            <w:vMerge w:val="restart"/>
            <w:tcBorders>
              <w:top w:val="single" w:color="auto" w:sz="4" w:space="0"/>
              <w:left w:val="nil"/>
              <w:right w:val="single" w:color="auto" w:sz="4" w:space="0"/>
            </w:tcBorders>
            <w:shd w:val="clear" w:color="auto" w:fill="D8D8D8" w:themeFill="background1" w:themeFillShade="D9"/>
            <w:vAlign w:val="center"/>
          </w:tcPr>
          <w:p>
            <w:pPr>
              <w:pStyle w:val="43"/>
              <w:jc w:val="center"/>
              <w:rPr>
                <w:b/>
              </w:rPr>
            </w:pPr>
            <w:r>
              <w:rPr>
                <w:b/>
              </w:rPr>
              <w:t>备注</w:t>
            </w:r>
          </w:p>
        </w:tc>
      </w:tr>
      <w:tr>
        <w:tblPrEx>
          <w:tblCellMar>
            <w:top w:w="0" w:type="dxa"/>
            <w:left w:w="108" w:type="dxa"/>
            <w:bottom w:w="0" w:type="dxa"/>
            <w:right w:w="108" w:type="dxa"/>
          </w:tblCellMar>
        </w:tblPrEx>
        <w:trPr>
          <w:trHeight w:val="414" w:hRule="atLeast"/>
        </w:trPr>
        <w:tc>
          <w:tcPr>
            <w:tcW w:w="354" w:type="pct"/>
            <w:vMerge w:val="continue"/>
            <w:tcBorders>
              <w:left w:val="single" w:color="auto" w:sz="4" w:space="0"/>
              <w:bottom w:val="single" w:color="auto" w:sz="4" w:space="0"/>
              <w:right w:val="single" w:color="auto" w:sz="4" w:space="0"/>
            </w:tcBorders>
            <w:shd w:val="clear" w:color="auto" w:fill="auto"/>
            <w:vAlign w:val="center"/>
          </w:tcPr>
          <w:p>
            <w:pPr>
              <w:pStyle w:val="43"/>
            </w:pPr>
          </w:p>
        </w:tc>
        <w:tc>
          <w:tcPr>
            <w:tcW w:w="407" w:type="pct"/>
            <w:vMerge w:val="continue"/>
            <w:tcBorders>
              <w:left w:val="nil"/>
              <w:bottom w:val="single" w:color="auto" w:sz="4" w:space="0"/>
              <w:right w:val="single" w:color="auto" w:sz="4" w:space="0"/>
            </w:tcBorders>
            <w:shd w:val="clear" w:color="auto" w:fill="auto"/>
            <w:vAlign w:val="center"/>
          </w:tcPr>
          <w:p>
            <w:pPr>
              <w:pStyle w:val="43"/>
            </w:pPr>
          </w:p>
        </w:tc>
        <w:tc>
          <w:tcPr>
            <w:tcW w:w="294" w:type="pct"/>
            <w:tcBorders>
              <w:top w:val="single" w:color="auto" w:sz="4" w:space="0"/>
              <w:left w:val="nil"/>
              <w:bottom w:val="single" w:color="auto" w:sz="4" w:space="0"/>
              <w:right w:val="single" w:color="auto" w:sz="4" w:space="0"/>
            </w:tcBorders>
            <w:shd w:val="clear" w:color="auto" w:fill="D8D8D8" w:themeFill="background1" w:themeFillShade="D9"/>
            <w:vAlign w:val="center"/>
          </w:tcPr>
          <w:p>
            <w:pPr>
              <w:pStyle w:val="43"/>
              <w:rPr>
                <w:b/>
              </w:rPr>
            </w:pPr>
            <w:r>
              <w:rPr>
                <w:b/>
              </w:rPr>
              <w:t>2015</w:t>
            </w:r>
          </w:p>
        </w:tc>
        <w:tc>
          <w:tcPr>
            <w:tcW w:w="295" w:type="pct"/>
            <w:tcBorders>
              <w:left w:val="nil"/>
              <w:bottom w:val="single" w:color="auto" w:sz="4" w:space="0"/>
              <w:right w:val="single" w:color="auto" w:sz="4" w:space="0"/>
            </w:tcBorders>
            <w:shd w:val="clear" w:color="auto" w:fill="D8D8D8" w:themeFill="background1" w:themeFillShade="D9"/>
            <w:vAlign w:val="center"/>
          </w:tcPr>
          <w:p>
            <w:pPr>
              <w:pStyle w:val="43"/>
              <w:rPr>
                <w:b/>
              </w:rPr>
            </w:pPr>
            <w:r>
              <w:rPr>
                <w:b/>
              </w:rPr>
              <w:t>2020</w:t>
            </w:r>
          </w:p>
        </w:tc>
        <w:tc>
          <w:tcPr>
            <w:tcW w:w="325" w:type="pct"/>
            <w:vMerge w:val="continue"/>
            <w:tcBorders>
              <w:left w:val="nil"/>
              <w:bottom w:val="single" w:color="auto" w:sz="4" w:space="0"/>
              <w:right w:val="single" w:color="auto" w:sz="4" w:space="0"/>
            </w:tcBorders>
            <w:shd w:val="clear" w:color="auto" w:fill="D8D8D8" w:themeFill="background1" w:themeFillShade="D9"/>
            <w:vAlign w:val="center"/>
          </w:tcPr>
          <w:p>
            <w:pPr>
              <w:pStyle w:val="43"/>
            </w:pPr>
          </w:p>
        </w:tc>
        <w:tc>
          <w:tcPr>
            <w:tcW w:w="1534" w:type="pct"/>
            <w:vMerge w:val="continue"/>
            <w:tcBorders>
              <w:left w:val="nil"/>
              <w:bottom w:val="single" w:color="auto" w:sz="4" w:space="0"/>
              <w:right w:val="single" w:color="auto" w:sz="4" w:space="0"/>
            </w:tcBorders>
            <w:shd w:val="clear" w:color="auto" w:fill="D8D8D8" w:themeFill="background1" w:themeFillShade="D9"/>
            <w:vAlign w:val="center"/>
          </w:tcPr>
          <w:p>
            <w:pPr>
              <w:pStyle w:val="43"/>
            </w:pPr>
          </w:p>
        </w:tc>
        <w:tc>
          <w:tcPr>
            <w:tcW w:w="1791" w:type="pct"/>
            <w:vMerge w:val="continue"/>
            <w:tcBorders>
              <w:left w:val="nil"/>
              <w:bottom w:val="single" w:color="auto" w:sz="4" w:space="0"/>
              <w:right w:val="single" w:color="auto" w:sz="4" w:space="0"/>
            </w:tcBorders>
            <w:shd w:val="clear" w:color="auto" w:fill="auto"/>
            <w:vAlign w:val="center"/>
          </w:tcPr>
          <w:p>
            <w:pPr>
              <w:pStyle w:val="43"/>
            </w:pPr>
          </w:p>
        </w:tc>
      </w:tr>
      <w:tr>
        <w:tblPrEx>
          <w:tblCellMar>
            <w:top w:w="0" w:type="dxa"/>
            <w:left w:w="108" w:type="dxa"/>
            <w:bottom w:w="0" w:type="dxa"/>
            <w:right w:w="108" w:type="dxa"/>
          </w:tblCellMar>
        </w:tblPrEx>
        <w:trPr>
          <w:trHeight w:val="676" w:hRule="atLeast"/>
        </w:trPr>
        <w:tc>
          <w:tcPr>
            <w:tcW w:w="354" w:type="pct"/>
            <w:tcBorders>
              <w:top w:val="nil"/>
              <w:left w:val="single" w:color="auto" w:sz="4" w:space="0"/>
              <w:bottom w:val="single" w:color="auto" w:sz="4" w:space="0"/>
              <w:right w:val="single" w:color="auto" w:sz="4" w:space="0"/>
            </w:tcBorders>
            <w:shd w:val="clear" w:color="auto" w:fill="auto"/>
            <w:vAlign w:val="center"/>
          </w:tcPr>
          <w:p>
            <w:pPr>
              <w:pStyle w:val="43"/>
              <w:jc w:val="center"/>
              <w:rPr>
                <w:sz w:val="22"/>
                <w:szCs w:val="22"/>
              </w:rPr>
            </w:pPr>
            <w:r>
              <w:rPr>
                <w:sz w:val="22"/>
                <w:szCs w:val="22"/>
              </w:rPr>
              <w:t>永磁铁氧体</w:t>
            </w:r>
          </w:p>
        </w:tc>
        <w:tc>
          <w:tcPr>
            <w:tcW w:w="407"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18</w:t>
            </w:r>
          </w:p>
        </w:tc>
        <w:tc>
          <w:tcPr>
            <w:tcW w:w="294"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91.9</w:t>
            </w:r>
          </w:p>
        </w:tc>
        <w:tc>
          <w:tcPr>
            <w:tcW w:w="29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144</w:t>
            </w:r>
          </w:p>
        </w:tc>
        <w:tc>
          <w:tcPr>
            <w:tcW w:w="32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rFonts w:hint="eastAsia"/>
                <w:sz w:val="22"/>
                <w:szCs w:val="22"/>
              </w:rPr>
              <w:t>9</w:t>
            </w:r>
            <w:r>
              <w:rPr>
                <w:sz w:val="22"/>
                <w:szCs w:val="22"/>
              </w:rPr>
              <w:t>%</w:t>
            </w:r>
          </w:p>
        </w:tc>
        <w:tc>
          <w:tcPr>
            <w:tcW w:w="1534"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十二五期间，国内永磁铁氧体年均增长率10%左右</w:t>
            </w:r>
          </w:p>
        </w:tc>
        <w:tc>
          <w:tcPr>
            <w:tcW w:w="1791"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根据调研反馈</w:t>
            </w:r>
            <w:r>
              <w:rPr>
                <w:rFonts w:hint="eastAsia"/>
                <w:sz w:val="22"/>
                <w:szCs w:val="22"/>
              </w:rPr>
              <w:t>，</w:t>
            </w:r>
            <w:r>
              <w:rPr>
                <w:sz w:val="22"/>
                <w:szCs w:val="22"/>
              </w:rPr>
              <w:t>东磁“十三五”提出到2020年达到187亿元，做保守处理</w:t>
            </w:r>
            <w:r>
              <w:rPr>
                <w:rFonts w:hint="eastAsia"/>
                <w:sz w:val="22"/>
                <w:szCs w:val="22"/>
              </w:rPr>
              <w:t>，</w:t>
            </w:r>
            <w:r>
              <w:rPr>
                <w:sz w:val="22"/>
                <w:szCs w:val="22"/>
              </w:rPr>
              <w:t>年均增速设定为10%</w:t>
            </w:r>
            <w:r>
              <w:rPr>
                <w:rFonts w:hint="eastAsia"/>
                <w:sz w:val="22"/>
                <w:szCs w:val="22"/>
              </w:rPr>
              <w:t>；富仕特磁业2016年上半年增长25%，“十三五”增势良好，设定为10%；其他16家企业按5%测算</w:t>
            </w:r>
          </w:p>
        </w:tc>
      </w:tr>
      <w:tr>
        <w:tblPrEx>
          <w:tblCellMar>
            <w:top w:w="0" w:type="dxa"/>
            <w:left w:w="108" w:type="dxa"/>
            <w:bottom w:w="0" w:type="dxa"/>
            <w:right w:w="108" w:type="dxa"/>
          </w:tblCellMar>
        </w:tblPrEx>
        <w:trPr>
          <w:trHeight w:val="280" w:hRule="atLeast"/>
        </w:trPr>
        <w:tc>
          <w:tcPr>
            <w:tcW w:w="354" w:type="pct"/>
            <w:tcBorders>
              <w:top w:val="nil"/>
              <w:left w:val="single" w:color="auto" w:sz="4" w:space="0"/>
              <w:bottom w:val="single" w:color="auto" w:sz="4" w:space="0"/>
              <w:right w:val="single" w:color="auto" w:sz="4" w:space="0"/>
            </w:tcBorders>
            <w:shd w:val="clear" w:color="auto" w:fill="auto"/>
            <w:vAlign w:val="center"/>
          </w:tcPr>
          <w:p>
            <w:pPr>
              <w:pStyle w:val="43"/>
              <w:jc w:val="center"/>
              <w:rPr>
                <w:sz w:val="22"/>
                <w:szCs w:val="22"/>
              </w:rPr>
            </w:pPr>
            <w:r>
              <w:rPr>
                <w:sz w:val="22"/>
                <w:szCs w:val="22"/>
              </w:rPr>
              <w:t>软磁铁氧体</w:t>
            </w:r>
          </w:p>
        </w:tc>
        <w:tc>
          <w:tcPr>
            <w:tcW w:w="407"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2</w:t>
            </w:r>
          </w:p>
        </w:tc>
        <w:tc>
          <w:tcPr>
            <w:tcW w:w="294"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0.6</w:t>
            </w:r>
          </w:p>
        </w:tc>
        <w:tc>
          <w:tcPr>
            <w:tcW w:w="29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rFonts w:hint="eastAsia"/>
                <w:sz w:val="22"/>
                <w:szCs w:val="22"/>
              </w:rPr>
              <w:t>1</w:t>
            </w:r>
          </w:p>
        </w:tc>
        <w:tc>
          <w:tcPr>
            <w:tcW w:w="32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5%</w:t>
            </w:r>
          </w:p>
        </w:tc>
        <w:tc>
          <w:tcPr>
            <w:tcW w:w="1534"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十二五期间，软磁铁氧体年均增长率5%左右</w:t>
            </w:r>
          </w:p>
        </w:tc>
        <w:tc>
          <w:tcPr>
            <w:tcW w:w="1791" w:type="pct"/>
            <w:tcBorders>
              <w:top w:val="nil"/>
              <w:left w:val="nil"/>
              <w:bottom w:val="single" w:color="auto" w:sz="4" w:space="0"/>
              <w:right w:val="single" w:color="auto" w:sz="4" w:space="0"/>
            </w:tcBorders>
            <w:shd w:val="clear" w:color="auto" w:fill="auto"/>
            <w:vAlign w:val="center"/>
          </w:tcPr>
          <w:p>
            <w:pPr>
              <w:pStyle w:val="43"/>
              <w:jc w:val="left"/>
              <w:rPr>
                <w:sz w:val="22"/>
                <w:szCs w:val="22"/>
              </w:rPr>
            </w:pPr>
            <w:r>
              <w:rPr>
                <w:rFonts w:hint="eastAsia"/>
                <w:sz w:val="22"/>
                <w:szCs w:val="22"/>
              </w:rPr>
              <w:t>按5%测算</w:t>
            </w:r>
          </w:p>
        </w:tc>
      </w:tr>
      <w:tr>
        <w:tblPrEx>
          <w:tblCellMar>
            <w:top w:w="0" w:type="dxa"/>
            <w:left w:w="108" w:type="dxa"/>
            <w:bottom w:w="0" w:type="dxa"/>
            <w:right w:w="108" w:type="dxa"/>
          </w:tblCellMar>
        </w:tblPrEx>
        <w:trPr>
          <w:trHeight w:val="1120" w:hRule="atLeast"/>
        </w:trPr>
        <w:tc>
          <w:tcPr>
            <w:tcW w:w="354" w:type="pct"/>
            <w:tcBorders>
              <w:top w:val="nil"/>
              <w:left w:val="single" w:color="auto" w:sz="4" w:space="0"/>
              <w:bottom w:val="single" w:color="auto" w:sz="4" w:space="0"/>
              <w:right w:val="single" w:color="auto" w:sz="4" w:space="0"/>
            </w:tcBorders>
            <w:shd w:val="clear" w:color="auto" w:fill="auto"/>
            <w:vAlign w:val="center"/>
          </w:tcPr>
          <w:p>
            <w:pPr>
              <w:pStyle w:val="43"/>
              <w:jc w:val="center"/>
              <w:rPr>
                <w:sz w:val="22"/>
                <w:szCs w:val="22"/>
              </w:rPr>
            </w:pPr>
            <w:r>
              <w:rPr>
                <w:sz w:val="22"/>
                <w:szCs w:val="22"/>
              </w:rPr>
              <w:t>钕铁硼永磁</w:t>
            </w:r>
          </w:p>
        </w:tc>
        <w:tc>
          <w:tcPr>
            <w:tcW w:w="407"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18</w:t>
            </w:r>
          </w:p>
        </w:tc>
        <w:tc>
          <w:tcPr>
            <w:tcW w:w="294"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19.</w:t>
            </w:r>
            <w:r>
              <w:rPr>
                <w:rFonts w:hint="eastAsia"/>
                <w:sz w:val="22"/>
                <w:szCs w:val="22"/>
              </w:rPr>
              <w:t>3</w:t>
            </w:r>
          </w:p>
        </w:tc>
        <w:tc>
          <w:tcPr>
            <w:tcW w:w="29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3</w:t>
            </w:r>
            <w:r>
              <w:rPr>
                <w:rFonts w:hint="eastAsia"/>
                <w:sz w:val="22"/>
                <w:szCs w:val="22"/>
              </w:rPr>
              <w:t>1</w:t>
            </w:r>
          </w:p>
        </w:tc>
        <w:tc>
          <w:tcPr>
            <w:tcW w:w="32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rFonts w:hint="eastAsia"/>
                <w:sz w:val="22"/>
                <w:szCs w:val="22"/>
              </w:rPr>
              <w:t>10</w:t>
            </w:r>
            <w:r>
              <w:rPr>
                <w:sz w:val="22"/>
                <w:szCs w:val="22"/>
              </w:rPr>
              <w:t>%</w:t>
            </w:r>
          </w:p>
        </w:tc>
        <w:tc>
          <w:tcPr>
            <w:tcW w:w="1534"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根据《2016年中国钕铁硼行业发展现状及市场应用分析》，2015 年全球高性能钕铁硼需求约 5.3 万吨，预计到2020年行业需求将达到 9.5万吨，复合增速为 12.3% 。</w:t>
            </w:r>
          </w:p>
        </w:tc>
        <w:tc>
          <w:tcPr>
            <w:tcW w:w="1791"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根据调研反馈，英洛华磁业提出到2020年销售达到30亿元，做保守处理，年均增速设定为15%；中元磁业提出到2018年超5亿，做保守处理，年均增速设定为10%</w:t>
            </w:r>
            <w:r>
              <w:rPr>
                <w:rFonts w:hint="eastAsia"/>
                <w:sz w:val="22"/>
                <w:szCs w:val="22"/>
              </w:rPr>
              <w:t>；其他16家企业6%测算</w:t>
            </w:r>
          </w:p>
        </w:tc>
      </w:tr>
      <w:tr>
        <w:tblPrEx>
          <w:tblCellMar>
            <w:top w:w="0" w:type="dxa"/>
            <w:left w:w="108" w:type="dxa"/>
            <w:bottom w:w="0" w:type="dxa"/>
            <w:right w:w="108" w:type="dxa"/>
          </w:tblCellMar>
        </w:tblPrEx>
        <w:trPr>
          <w:trHeight w:val="840" w:hRule="atLeast"/>
        </w:trPr>
        <w:tc>
          <w:tcPr>
            <w:tcW w:w="354" w:type="pct"/>
            <w:tcBorders>
              <w:top w:val="nil"/>
              <w:left w:val="single" w:color="auto" w:sz="4" w:space="0"/>
              <w:bottom w:val="single" w:color="auto" w:sz="4" w:space="0"/>
              <w:right w:val="single" w:color="auto" w:sz="4" w:space="0"/>
            </w:tcBorders>
            <w:shd w:val="clear" w:color="auto" w:fill="auto"/>
            <w:vAlign w:val="center"/>
          </w:tcPr>
          <w:p>
            <w:pPr>
              <w:pStyle w:val="43"/>
              <w:jc w:val="center"/>
              <w:rPr>
                <w:sz w:val="22"/>
                <w:szCs w:val="22"/>
              </w:rPr>
            </w:pPr>
            <w:r>
              <w:rPr>
                <w:sz w:val="22"/>
                <w:szCs w:val="22"/>
              </w:rPr>
              <w:t>照明</w:t>
            </w:r>
          </w:p>
        </w:tc>
        <w:tc>
          <w:tcPr>
            <w:tcW w:w="407"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4</w:t>
            </w:r>
          </w:p>
        </w:tc>
        <w:tc>
          <w:tcPr>
            <w:tcW w:w="294"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3.1</w:t>
            </w:r>
          </w:p>
        </w:tc>
        <w:tc>
          <w:tcPr>
            <w:tcW w:w="29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4</w:t>
            </w:r>
          </w:p>
        </w:tc>
        <w:tc>
          <w:tcPr>
            <w:tcW w:w="32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7%</w:t>
            </w:r>
          </w:p>
        </w:tc>
        <w:tc>
          <w:tcPr>
            <w:tcW w:w="1534"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2015年全行业销售额5600亿人民币，同比增长8%，出口额453亿美元，同比增长9%，其中LED照明产品出口额108亿美元，同比增长20%</w:t>
            </w:r>
          </w:p>
        </w:tc>
        <w:tc>
          <w:tcPr>
            <w:tcW w:w="1791"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根据工业转型升级“十三五”规划统一安排，得邦照明相关数据在节能环保中测算</w:t>
            </w:r>
            <w:r>
              <w:rPr>
                <w:rFonts w:hint="eastAsia"/>
                <w:sz w:val="22"/>
                <w:szCs w:val="22"/>
              </w:rPr>
              <w:t>；其他企业按7%测算</w:t>
            </w:r>
          </w:p>
        </w:tc>
      </w:tr>
      <w:tr>
        <w:tblPrEx>
          <w:tblCellMar>
            <w:top w:w="0" w:type="dxa"/>
            <w:left w:w="108" w:type="dxa"/>
            <w:bottom w:w="0" w:type="dxa"/>
            <w:right w:w="108" w:type="dxa"/>
          </w:tblCellMar>
        </w:tblPrEx>
        <w:trPr>
          <w:trHeight w:val="560" w:hRule="atLeast"/>
        </w:trPr>
        <w:tc>
          <w:tcPr>
            <w:tcW w:w="354" w:type="pct"/>
            <w:tcBorders>
              <w:top w:val="nil"/>
              <w:left w:val="single" w:color="auto" w:sz="4" w:space="0"/>
              <w:bottom w:val="single" w:color="auto" w:sz="4" w:space="0"/>
              <w:right w:val="single" w:color="auto" w:sz="4" w:space="0"/>
            </w:tcBorders>
            <w:shd w:val="clear" w:color="auto" w:fill="auto"/>
            <w:vAlign w:val="center"/>
          </w:tcPr>
          <w:p>
            <w:pPr>
              <w:pStyle w:val="43"/>
              <w:jc w:val="center"/>
              <w:rPr>
                <w:sz w:val="22"/>
                <w:szCs w:val="22"/>
              </w:rPr>
            </w:pPr>
            <w:r>
              <w:rPr>
                <w:sz w:val="22"/>
                <w:szCs w:val="22"/>
              </w:rPr>
              <w:t>电声</w:t>
            </w:r>
          </w:p>
        </w:tc>
        <w:tc>
          <w:tcPr>
            <w:tcW w:w="407"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8</w:t>
            </w:r>
          </w:p>
        </w:tc>
        <w:tc>
          <w:tcPr>
            <w:tcW w:w="294"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7.</w:t>
            </w:r>
            <w:r>
              <w:rPr>
                <w:rFonts w:hint="eastAsia"/>
                <w:sz w:val="22"/>
                <w:szCs w:val="22"/>
              </w:rPr>
              <w:t>7</w:t>
            </w:r>
          </w:p>
        </w:tc>
        <w:tc>
          <w:tcPr>
            <w:tcW w:w="29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11</w:t>
            </w:r>
          </w:p>
        </w:tc>
        <w:tc>
          <w:tcPr>
            <w:tcW w:w="32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rFonts w:hint="eastAsia"/>
                <w:sz w:val="22"/>
                <w:szCs w:val="22"/>
              </w:rPr>
              <w:t>8</w:t>
            </w:r>
            <w:r>
              <w:rPr>
                <w:sz w:val="22"/>
                <w:szCs w:val="22"/>
              </w:rPr>
              <w:t>%</w:t>
            </w:r>
          </w:p>
        </w:tc>
        <w:tc>
          <w:tcPr>
            <w:tcW w:w="1534"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根据《电声器件产业“十三五”发展规划》，“十三五”期间销售总收入年增长10%</w:t>
            </w:r>
          </w:p>
        </w:tc>
        <w:tc>
          <w:tcPr>
            <w:tcW w:w="1791"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根据调研，全方音响提出2020年产值达到10亿元，年均增长40%，做保守处理，年均增速设定为10%</w:t>
            </w:r>
            <w:r>
              <w:rPr>
                <w:rFonts w:hint="eastAsia"/>
                <w:sz w:val="22"/>
                <w:szCs w:val="22"/>
              </w:rPr>
              <w:t>；其他7家企业按6%测算</w:t>
            </w:r>
          </w:p>
        </w:tc>
      </w:tr>
      <w:tr>
        <w:tblPrEx>
          <w:tblCellMar>
            <w:top w:w="0" w:type="dxa"/>
            <w:left w:w="108" w:type="dxa"/>
            <w:bottom w:w="0" w:type="dxa"/>
            <w:right w:w="108" w:type="dxa"/>
          </w:tblCellMar>
        </w:tblPrEx>
        <w:trPr>
          <w:trHeight w:val="840" w:hRule="atLeast"/>
        </w:trPr>
        <w:tc>
          <w:tcPr>
            <w:tcW w:w="354" w:type="pct"/>
            <w:tcBorders>
              <w:top w:val="nil"/>
              <w:left w:val="single" w:color="auto" w:sz="4" w:space="0"/>
              <w:bottom w:val="single" w:color="auto" w:sz="4" w:space="0"/>
              <w:right w:val="single" w:color="auto" w:sz="4" w:space="0"/>
            </w:tcBorders>
            <w:shd w:val="clear" w:color="auto" w:fill="auto"/>
            <w:vAlign w:val="center"/>
          </w:tcPr>
          <w:p>
            <w:pPr>
              <w:pStyle w:val="43"/>
              <w:jc w:val="center"/>
              <w:rPr>
                <w:sz w:val="22"/>
                <w:szCs w:val="22"/>
              </w:rPr>
            </w:pPr>
            <w:r>
              <w:rPr>
                <w:sz w:val="22"/>
                <w:szCs w:val="22"/>
              </w:rPr>
              <w:t>电机</w:t>
            </w:r>
          </w:p>
        </w:tc>
        <w:tc>
          <w:tcPr>
            <w:tcW w:w="407"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5</w:t>
            </w:r>
          </w:p>
        </w:tc>
        <w:tc>
          <w:tcPr>
            <w:tcW w:w="294"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1.1</w:t>
            </w:r>
          </w:p>
        </w:tc>
        <w:tc>
          <w:tcPr>
            <w:tcW w:w="29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rFonts w:hint="eastAsia"/>
                <w:sz w:val="22"/>
                <w:szCs w:val="22"/>
              </w:rPr>
              <w:t>2</w:t>
            </w:r>
          </w:p>
        </w:tc>
        <w:tc>
          <w:tcPr>
            <w:tcW w:w="32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7%</w:t>
            </w:r>
          </w:p>
        </w:tc>
        <w:tc>
          <w:tcPr>
            <w:tcW w:w="1534"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根据《2015-2020年中国电机行业市场格局研究与发展潜力分析咨询报告》，微电机市场容量增速可长期维持在15%以上</w:t>
            </w:r>
          </w:p>
        </w:tc>
        <w:tc>
          <w:tcPr>
            <w:tcW w:w="1791" w:type="pct"/>
            <w:tcBorders>
              <w:top w:val="nil"/>
              <w:left w:val="nil"/>
              <w:bottom w:val="single" w:color="auto" w:sz="4" w:space="0"/>
              <w:right w:val="single" w:color="auto" w:sz="4" w:space="0"/>
            </w:tcBorders>
            <w:shd w:val="clear" w:color="auto" w:fill="auto"/>
            <w:vAlign w:val="center"/>
          </w:tcPr>
          <w:p>
            <w:pPr>
              <w:pStyle w:val="43"/>
              <w:jc w:val="left"/>
              <w:rPr>
                <w:sz w:val="22"/>
                <w:szCs w:val="22"/>
              </w:rPr>
            </w:pPr>
            <w:r>
              <w:rPr>
                <w:rFonts w:hint="eastAsia"/>
                <w:sz w:val="22"/>
                <w:szCs w:val="22"/>
              </w:rPr>
              <w:t>按年均增速7%测算</w:t>
            </w:r>
          </w:p>
        </w:tc>
      </w:tr>
      <w:tr>
        <w:tblPrEx>
          <w:tblCellMar>
            <w:top w:w="0" w:type="dxa"/>
            <w:left w:w="108" w:type="dxa"/>
            <w:bottom w:w="0" w:type="dxa"/>
            <w:right w:w="108" w:type="dxa"/>
          </w:tblCellMar>
        </w:tblPrEx>
        <w:trPr>
          <w:trHeight w:val="560" w:hRule="atLeast"/>
        </w:trPr>
        <w:tc>
          <w:tcPr>
            <w:tcW w:w="354" w:type="pct"/>
            <w:tcBorders>
              <w:top w:val="nil"/>
              <w:left w:val="single" w:color="auto" w:sz="4" w:space="0"/>
              <w:bottom w:val="single" w:color="auto" w:sz="4" w:space="0"/>
              <w:right w:val="single" w:color="auto" w:sz="4" w:space="0"/>
            </w:tcBorders>
            <w:shd w:val="clear" w:color="auto" w:fill="auto"/>
            <w:vAlign w:val="center"/>
          </w:tcPr>
          <w:p>
            <w:pPr>
              <w:pStyle w:val="43"/>
              <w:jc w:val="center"/>
              <w:rPr>
                <w:sz w:val="22"/>
                <w:szCs w:val="22"/>
              </w:rPr>
            </w:pPr>
            <w:r>
              <w:rPr>
                <w:sz w:val="22"/>
                <w:szCs w:val="22"/>
              </w:rPr>
              <w:t>其他</w:t>
            </w:r>
          </w:p>
        </w:tc>
        <w:tc>
          <w:tcPr>
            <w:tcW w:w="407"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4</w:t>
            </w:r>
          </w:p>
        </w:tc>
        <w:tc>
          <w:tcPr>
            <w:tcW w:w="294"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1.</w:t>
            </w:r>
            <w:r>
              <w:rPr>
                <w:rFonts w:hint="eastAsia"/>
                <w:sz w:val="22"/>
                <w:szCs w:val="22"/>
              </w:rPr>
              <w:t>5</w:t>
            </w:r>
          </w:p>
        </w:tc>
        <w:tc>
          <w:tcPr>
            <w:tcW w:w="29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rFonts w:hint="eastAsia"/>
                <w:sz w:val="22"/>
                <w:szCs w:val="22"/>
              </w:rPr>
              <w:t>2</w:t>
            </w:r>
          </w:p>
        </w:tc>
        <w:tc>
          <w:tcPr>
            <w:tcW w:w="32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5%</w:t>
            </w:r>
          </w:p>
        </w:tc>
        <w:tc>
          <w:tcPr>
            <w:tcW w:w="1534"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全国电子元器件领域2012-2015年均增速9.5%</w:t>
            </w:r>
          </w:p>
        </w:tc>
        <w:tc>
          <w:tcPr>
            <w:tcW w:w="1791" w:type="pct"/>
            <w:tcBorders>
              <w:top w:val="nil"/>
              <w:left w:val="nil"/>
              <w:bottom w:val="single" w:color="auto" w:sz="4" w:space="0"/>
              <w:right w:val="single" w:color="auto" w:sz="4" w:space="0"/>
            </w:tcBorders>
            <w:shd w:val="clear" w:color="auto" w:fill="auto"/>
            <w:vAlign w:val="center"/>
          </w:tcPr>
          <w:p>
            <w:pPr>
              <w:pStyle w:val="43"/>
              <w:rPr>
                <w:sz w:val="22"/>
                <w:szCs w:val="22"/>
              </w:rPr>
            </w:pPr>
            <w:r>
              <w:rPr>
                <w:sz w:val="22"/>
                <w:szCs w:val="22"/>
              </w:rPr>
              <w:t>根据工业转型升级“十三五”规划统一安排，华恒温控器相关数据在机械装备中测算</w:t>
            </w:r>
            <w:r>
              <w:rPr>
                <w:rFonts w:hint="eastAsia"/>
                <w:sz w:val="22"/>
                <w:szCs w:val="22"/>
              </w:rPr>
              <w:t>；其他企业按5%测算</w:t>
            </w:r>
          </w:p>
        </w:tc>
      </w:tr>
      <w:tr>
        <w:tblPrEx>
          <w:tblCellMar>
            <w:top w:w="0" w:type="dxa"/>
            <w:left w:w="108" w:type="dxa"/>
            <w:bottom w:w="0" w:type="dxa"/>
            <w:right w:w="108" w:type="dxa"/>
          </w:tblCellMar>
        </w:tblPrEx>
        <w:trPr>
          <w:trHeight w:val="280" w:hRule="atLeast"/>
        </w:trPr>
        <w:tc>
          <w:tcPr>
            <w:tcW w:w="354" w:type="pct"/>
            <w:tcBorders>
              <w:top w:val="nil"/>
              <w:left w:val="single" w:color="auto" w:sz="4" w:space="0"/>
              <w:bottom w:val="single" w:color="auto" w:sz="4" w:space="0"/>
              <w:right w:val="single" w:color="auto" w:sz="4" w:space="0"/>
            </w:tcBorders>
            <w:shd w:val="clear" w:color="auto" w:fill="auto"/>
            <w:vAlign w:val="center"/>
          </w:tcPr>
          <w:p>
            <w:pPr>
              <w:pStyle w:val="43"/>
              <w:jc w:val="center"/>
              <w:rPr>
                <w:sz w:val="22"/>
                <w:szCs w:val="22"/>
              </w:rPr>
            </w:pPr>
            <w:r>
              <w:rPr>
                <w:sz w:val="22"/>
                <w:szCs w:val="22"/>
              </w:rPr>
              <w:t>合计</w:t>
            </w:r>
          </w:p>
        </w:tc>
        <w:tc>
          <w:tcPr>
            <w:tcW w:w="407"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59</w:t>
            </w:r>
          </w:p>
        </w:tc>
        <w:tc>
          <w:tcPr>
            <w:tcW w:w="294"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125.1</w:t>
            </w:r>
          </w:p>
        </w:tc>
        <w:tc>
          <w:tcPr>
            <w:tcW w:w="29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sz w:val="22"/>
                <w:szCs w:val="22"/>
              </w:rPr>
              <w:t>195</w:t>
            </w:r>
          </w:p>
        </w:tc>
        <w:tc>
          <w:tcPr>
            <w:tcW w:w="325"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rFonts w:hint="eastAsia"/>
                <w:sz w:val="22"/>
                <w:szCs w:val="22"/>
              </w:rPr>
              <w:t>9.4%</w:t>
            </w:r>
          </w:p>
        </w:tc>
        <w:tc>
          <w:tcPr>
            <w:tcW w:w="1534"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rFonts w:hint="eastAsia"/>
                <w:sz w:val="22"/>
                <w:szCs w:val="22"/>
              </w:rPr>
              <w:t>——</w:t>
            </w:r>
          </w:p>
        </w:tc>
        <w:tc>
          <w:tcPr>
            <w:tcW w:w="1791" w:type="pct"/>
            <w:tcBorders>
              <w:top w:val="nil"/>
              <w:left w:val="nil"/>
              <w:bottom w:val="single" w:color="auto" w:sz="4" w:space="0"/>
              <w:right w:val="single" w:color="auto" w:sz="4" w:space="0"/>
            </w:tcBorders>
            <w:shd w:val="clear" w:color="auto" w:fill="auto"/>
            <w:vAlign w:val="center"/>
          </w:tcPr>
          <w:p>
            <w:pPr>
              <w:pStyle w:val="43"/>
              <w:jc w:val="center"/>
              <w:rPr>
                <w:sz w:val="22"/>
                <w:szCs w:val="22"/>
              </w:rPr>
            </w:pPr>
            <w:r>
              <w:rPr>
                <w:rFonts w:hint="eastAsia"/>
                <w:sz w:val="22"/>
                <w:szCs w:val="22"/>
              </w:rPr>
              <w:t>——</w:t>
            </w:r>
          </w:p>
        </w:tc>
      </w:tr>
    </w:tbl>
    <w:p>
      <w:pPr>
        <w:pStyle w:val="35"/>
        <w:ind w:firstLine="640"/>
      </w:pPr>
      <w:r>
        <w:rPr>
          <w:rFonts w:hint="eastAsia"/>
        </w:rPr>
        <w:t>增量部分来源主要包括两个方面：一方面是本地企业拓展新的业务领域，如横店东磁开展的年产6GWh高容量锂离子动力电池，投资金额30亿元，将成为东阳经济增量的强大动力；另一方面是引进新项目，重点与日本TDK、德国VAC等国际顶尖企业合作，共同建立合资公司，组织生产具有国际先进水平的产品，提升东阳磁性材料产业的整体竞争力。</w:t>
      </w:r>
    </w:p>
    <w:p>
      <w:pPr>
        <w:pStyle w:val="3"/>
        <w:rPr>
          <w:shd w:val="clear" w:color="auto" w:fill="auto"/>
        </w:rPr>
      </w:pPr>
      <w:bookmarkStart w:id="176" w:name="_Toc475457223"/>
      <w:bookmarkStart w:id="177" w:name="_Toc475457362"/>
      <w:bookmarkStart w:id="178" w:name="_Toc475457007"/>
      <w:bookmarkStart w:id="179" w:name="_Toc465348316"/>
      <w:bookmarkStart w:id="180" w:name="_Toc467576802"/>
      <w:r>
        <w:rPr>
          <w:rFonts w:hint="eastAsia"/>
          <w:shd w:val="clear" w:color="auto" w:fill="auto"/>
        </w:rPr>
        <w:t>（二）用地测算</w:t>
      </w:r>
      <w:bookmarkEnd w:id="176"/>
      <w:bookmarkEnd w:id="177"/>
      <w:bookmarkEnd w:id="178"/>
      <w:bookmarkEnd w:id="179"/>
      <w:bookmarkEnd w:id="180"/>
    </w:p>
    <w:p>
      <w:pPr>
        <w:pStyle w:val="35"/>
        <w:ind w:firstLine="640"/>
      </w:pPr>
      <w:r>
        <w:rPr>
          <w:rFonts w:hint="eastAsia"/>
        </w:rPr>
        <w:t>根据当前东阳磁性电子产业企业生产用地情况（2015年规上企业亩均产值392.3万元/亩），结合此行电子行业集聚集约发展趋势和主要龙头企业产出效益情况（2015年凯文磁钢637.4万元/亩，横店东磁亩均产值563.2万元/亩，英洛华磁业493.3万元/亩），综合考虑国家级、省级开发区（园区）和省级产业集聚区等平台对新建项目、重大项目等的投资强度和预期产出要求</w:t>
      </w:r>
      <w:r>
        <w:rPr>
          <w:rStyle w:val="20"/>
        </w:rPr>
        <w:footnoteReference w:id="1"/>
      </w:r>
      <w:r>
        <w:rPr>
          <w:rFonts w:hint="eastAsia"/>
        </w:rPr>
        <w:t>，拟设到2020年磁性电子产业企业亩均产值提升至600万元/亩，按此计算得到需4700亩工业用地才能达到280亿元的总产值目标，需新增用地1500亩。</w:t>
      </w:r>
    </w:p>
    <w:p>
      <w:pPr>
        <w:pStyle w:val="32"/>
        <w:spacing w:line="560" w:lineRule="exact"/>
        <w:ind w:firstLine="0" w:firstLineChars="0"/>
        <w:rPr>
          <w:rFonts w:ascii="Times New Roman" w:hAnsi="Times New Roman"/>
        </w:rPr>
      </w:pPr>
    </w:p>
    <w:p>
      <w:pPr>
        <w:pStyle w:val="32"/>
        <w:spacing w:line="560" w:lineRule="exact"/>
        <w:ind w:firstLine="0" w:firstLineChars="0"/>
        <w:rPr>
          <w:rFonts w:ascii="Times New Roman" w:hAnsi="Times New Roman"/>
        </w:rPr>
        <w:sectPr>
          <w:pgSz w:w="16838" w:h="11906" w:orient="landscape"/>
          <w:pgMar w:top="1800" w:right="1440" w:bottom="1800" w:left="1440" w:header="851" w:footer="992" w:gutter="0"/>
          <w:cols w:space="425" w:num="1"/>
          <w:docGrid w:type="lines" w:linePitch="435" w:charSpace="0"/>
        </w:sectPr>
      </w:pPr>
    </w:p>
    <w:p>
      <w:pPr>
        <w:pStyle w:val="2"/>
      </w:pPr>
      <w:bookmarkStart w:id="181" w:name="_Toc475457224"/>
      <w:bookmarkStart w:id="182" w:name="_Toc475457008"/>
      <w:bookmarkStart w:id="183" w:name="_Toc475457363"/>
      <w:r>
        <w:rPr>
          <w:rFonts w:hint="eastAsia"/>
        </w:rPr>
        <w:t>附件4</w:t>
      </w:r>
      <w:r>
        <w:t xml:space="preserve"> </w:t>
      </w:r>
      <w:r>
        <w:rPr>
          <w:rFonts w:hint="eastAsia"/>
        </w:rPr>
        <w:t>全球磁性材料顶尖企业</w:t>
      </w:r>
      <w:bookmarkEnd w:id="181"/>
      <w:bookmarkEnd w:id="182"/>
      <w:bookmarkEnd w:id="183"/>
    </w:p>
    <w:p>
      <w:pPr>
        <w:ind w:firstLine="640" w:firstLineChars="0"/>
        <w:outlineLvl w:val="2"/>
        <w:rPr>
          <w:rFonts w:eastAsia="楷体"/>
        </w:rPr>
      </w:pPr>
      <w:bookmarkStart w:id="184" w:name="_Toc465348318"/>
      <w:bookmarkStart w:id="185" w:name="_Toc467576804"/>
      <w:bookmarkStart w:id="186" w:name="_Toc475457009"/>
      <w:bookmarkStart w:id="187" w:name="_Toc461614565"/>
      <w:r>
        <w:rPr>
          <w:rFonts w:ascii="Times New Roman" w:hAnsi="Times New Roman" w:eastAsia="楷体"/>
        </w:rPr>
        <w:t>1</w:t>
      </w:r>
      <w:r>
        <w:rPr>
          <w:rFonts w:hint="eastAsia" w:ascii="Times New Roman" w:hAnsi="Times New Roman" w:eastAsia="楷体"/>
        </w:rPr>
        <w:t>、德国</w:t>
      </w:r>
      <w:r>
        <w:rPr>
          <w:rFonts w:ascii="Times New Roman" w:hAnsi="Times New Roman" w:eastAsia="楷体"/>
        </w:rPr>
        <w:t>VAC</w:t>
      </w:r>
      <w:r>
        <w:rPr>
          <w:rFonts w:hint="eastAsia" w:ascii="Times New Roman" w:hAnsi="Times New Roman" w:eastAsia="楷体"/>
        </w:rPr>
        <w:t>公司</w:t>
      </w:r>
      <w:bookmarkEnd w:id="184"/>
      <w:bookmarkEnd w:id="185"/>
      <w:bookmarkEnd w:id="186"/>
      <w:bookmarkEnd w:id="187"/>
    </w:p>
    <w:p>
      <w:pPr>
        <w:pStyle w:val="35"/>
        <w:ind w:firstLine="640"/>
      </w:pPr>
      <w:r>
        <w:t>VACUUMSCHMELZE (VAC) 公司是全球高性能磁性材料及器件生产商的领导者。产品涵盖半成品材料及其零部件</w:t>
      </w:r>
      <w:r>
        <w:rPr>
          <w:rFonts w:hint="eastAsia"/>
        </w:rPr>
        <w:t>、</w:t>
      </w:r>
      <w:r>
        <w:t>元器件及其集成系统，被广泛应用于电力电子及电子工程领域。从软磁产品到世界上磁性最强的永磁产品，VAC是全球屈指可数的可以给客户提供整套磁性技术方案的跨国公司之一。</w:t>
      </w:r>
    </w:p>
    <w:p>
      <w:pPr>
        <w:pStyle w:val="35"/>
        <w:ind w:firstLine="640"/>
      </w:pPr>
      <w:r>
        <w:t>今天的 VAC 已经拥有超过3000名员工，分支结构（包括生产和销售）遍布在全世界40多个国家，其年均销售额约为3亿欧元。正不断发展壮大成为一家国际化的企业。</w:t>
      </w:r>
    </w:p>
    <w:p>
      <w:pPr>
        <w:ind w:firstLine="640" w:firstLineChars="0"/>
        <w:outlineLvl w:val="2"/>
        <w:rPr>
          <w:rFonts w:eastAsia="楷体"/>
        </w:rPr>
      </w:pPr>
      <w:bookmarkStart w:id="188" w:name="_Toc475457010"/>
      <w:bookmarkStart w:id="189" w:name="_Toc467576805"/>
      <w:bookmarkStart w:id="190" w:name="_Toc465348319"/>
      <w:bookmarkStart w:id="191" w:name="_Toc461614566"/>
      <w:r>
        <w:rPr>
          <w:rFonts w:ascii="Times New Roman" w:hAnsi="Times New Roman" w:eastAsia="楷体"/>
        </w:rPr>
        <w:t>2</w:t>
      </w:r>
      <w:r>
        <w:rPr>
          <w:rFonts w:hint="eastAsia" w:ascii="Times New Roman" w:hAnsi="Times New Roman" w:eastAsia="楷体"/>
        </w:rPr>
        <w:t>、德国瓦克华磁性材料公司（</w:t>
      </w:r>
      <w:r>
        <w:rPr>
          <w:rFonts w:ascii="Times New Roman" w:hAnsi="Times New Roman" w:eastAsia="楷体"/>
        </w:rPr>
        <w:t>VACUUMSCHMELIE</w:t>
      </w:r>
      <w:r>
        <w:rPr>
          <w:rFonts w:hint="eastAsia" w:ascii="Times New Roman" w:hAnsi="Times New Roman" w:eastAsia="楷体"/>
        </w:rPr>
        <w:t>）</w:t>
      </w:r>
      <w:bookmarkEnd w:id="188"/>
      <w:bookmarkEnd w:id="189"/>
      <w:bookmarkEnd w:id="190"/>
      <w:bookmarkEnd w:id="191"/>
    </w:p>
    <w:p>
      <w:pPr>
        <w:pStyle w:val="35"/>
        <w:ind w:firstLine="640"/>
      </w:pPr>
      <w:r>
        <w:t>瓦克华磁性材料公司是全球最大的生产磁性材料</w:t>
      </w:r>
      <w:r>
        <w:rPr>
          <w:rFonts w:hint="eastAsia"/>
        </w:rPr>
        <w:t>、</w:t>
      </w:r>
      <w:r>
        <w:t>非晶态及纳米晶磁性电感元器件的专业公司之一</w:t>
      </w:r>
      <w:r>
        <w:rPr>
          <w:rFonts w:hint="eastAsia"/>
        </w:rPr>
        <w:t>。</w:t>
      </w:r>
      <w:r>
        <w:t>1923年由瓦克华率先引入真空条件下合金熔炼的独特金属加工工艺</w:t>
      </w:r>
      <w:r>
        <w:rPr>
          <w:rFonts w:hint="eastAsia"/>
        </w:rPr>
        <w:t>，</w:t>
      </w:r>
      <w:r>
        <w:t>总部设于德国哈瑙，在德国、斯洛伐克、美国、中国、马来西亚建有工厂，同时在全世界各个国家拥有40余家分支机构。经过百年的发展，已经拥有4500多名雇员</w:t>
      </w:r>
      <w:r>
        <w:rPr>
          <w:rFonts w:hint="eastAsia"/>
        </w:rPr>
        <w:t>，</w:t>
      </w:r>
      <w:r>
        <w:t>年度销售总额约为4亿欧元。</w:t>
      </w:r>
    </w:p>
    <w:p>
      <w:pPr>
        <w:ind w:firstLine="640" w:firstLineChars="0"/>
        <w:outlineLvl w:val="2"/>
        <w:rPr>
          <w:rFonts w:eastAsia="楷体"/>
        </w:rPr>
      </w:pPr>
      <w:bookmarkStart w:id="192" w:name="_Toc465348320"/>
      <w:bookmarkStart w:id="193" w:name="_Toc475457011"/>
      <w:bookmarkStart w:id="194" w:name="_Toc461614567"/>
      <w:bookmarkStart w:id="195" w:name="_Toc467576806"/>
      <w:r>
        <w:rPr>
          <w:rFonts w:ascii="Times New Roman" w:hAnsi="Times New Roman" w:eastAsia="楷体"/>
        </w:rPr>
        <w:t>3</w:t>
      </w:r>
      <w:r>
        <w:rPr>
          <w:rFonts w:hint="eastAsia" w:ascii="Times New Roman" w:hAnsi="Times New Roman" w:eastAsia="楷体"/>
        </w:rPr>
        <w:t>、美国莱尔德电子材料集团</w:t>
      </w:r>
      <w:bookmarkEnd w:id="192"/>
      <w:bookmarkEnd w:id="193"/>
      <w:bookmarkEnd w:id="194"/>
      <w:bookmarkEnd w:id="195"/>
    </w:p>
    <w:p>
      <w:pPr>
        <w:pStyle w:val="35"/>
        <w:ind w:firstLine="640"/>
      </w:pPr>
      <w:r>
        <w:t>美国莱尔德电子材料集团是设计和制造电磁屏蔽材料、导热界面材料和无线天线产品的世界著名公司，产品广泛应用于电信、数字通讯、手机, 计算机、通用电子装置、网络设备、航空、国防、汽车以及医疗设备等领域。美国莱尔德电子材料集团的客户均为世界著名厂商</w:t>
      </w:r>
      <w:r>
        <w:rPr>
          <w:rFonts w:hint="eastAsia"/>
        </w:rPr>
        <w:t>，</w:t>
      </w:r>
      <w:r>
        <w:t>母公司为英国莱尔德集团公众有限公司</w:t>
      </w:r>
      <w:r>
        <w:rPr>
          <w:rFonts w:hint="eastAsia"/>
        </w:rPr>
        <w:t>（</w:t>
      </w:r>
      <w:r>
        <w:t>其为英国伦敦股票交易所上市公司具有140多年历史</w:t>
      </w:r>
      <w:r>
        <w:rPr>
          <w:rFonts w:hint="eastAsia"/>
        </w:rPr>
        <w:t>）</w:t>
      </w:r>
      <w:r>
        <w:t>。</w:t>
      </w:r>
    </w:p>
    <w:p>
      <w:pPr>
        <w:pStyle w:val="35"/>
        <w:ind w:firstLine="640"/>
      </w:pPr>
      <w:r>
        <w:t>美国莱尔德电子材料集团注册于美国的特拉华州，通过并购一系列世界著名的电磁屏蔽产品、导热产品和无线天线产品的制造厂家而形成今天的规模</w:t>
      </w:r>
      <w:r>
        <w:rPr>
          <w:rFonts w:hint="eastAsia"/>
        </w:rPr>
        <w:t>。</w:t>
      </w:r>
      <w:r>
        <w:t>集团的战略发展是向客户提供全球技术解决方案及当地制造就近供货。自2000年美国莱尔德电子材料集团开始进入中国的市场, 现已拥有八家大型生产制造企业分布在北京，上海，天津，深圳，苏州，昆山和泉州, 为国内外客户生产具世界领先水平的电子元件及提供当地便捷、周到的各项服务。</w:t>
      </w:r>
    </w:p>
    <w:p>
      <w:pPr>
        <w:ind w:firstLine="640" w:firstLineChars="0"/>
        <w:outlineLvl w:val="2"/>
        <w:rPr>
          <w:rFonts w:eastAsia="楷体"/>
        </w:rPr>
      </w:pPr>
      <w:bookmarkStart w:id="196" w:name="_Toc465348321"/>
      <w:bookmarkStart w:id="197" w:name="_Toc467576807"/>
      <w:bookmarkStart w:id="198" w:name="_Toc475457012"/>
      <w:bookmarkStart w:id="199" w:name="_Toc461614568"/>
      <w:r>
        <w:rPr>
          <w:rFonts w:ascii="Times New Roman" w:hAnsi="Times New Roman" w:eastAsia="楷体"/>
        </w:rPr>
        <w:t>4</w:t>
      </w:r>
      <w:r>
        <w:rPr>
          <w:rFonts w:hint="eastAsia" w:ascii="Times New Roman" w:hAnsi="Times New Roman" w:eastAsia="楷体"/>
        </w:rPr>
        <w:t>、美国阿诺德磁技术公司</w:t>
      </w:r>
      <w:bookmarkEnd w:id="196"/>
      <w:bookmarkEnd w:id="197"/>
      <w:bookmarkEnd w:id="198"/>
      <w:bookmarkEnd w:id="199"/>
    </w:p>
    <w:p>
      <w:pPr>
        <w:pStyle w:val="35"/>
        <w:ind w:firstLine="640"/>
      </w:pPr>
      <w:r>
        <w:t>美国阿诺德磁技术公司是世界上品种最多的磁性材料和部件供应商之一，总部位于纽约罗切斯特市，在全球共有9家工厂和分支机构，分别位于美国、英国、瑞士和中国。我们所生产的磁性材料产品广泛应用于汽车、工业、通信、医疗、电子、家电、军事和航空航天等领域。</w:t>
      </w:r>
    </w:p>
    <w:p>
      <w:pPr>
        <w:pStyle w:val="35"/>
        <w:ind w:firstLine="640"/>
      </w:pPr>
      <w:r>
        <w:t>经过120多年的发展，阿诺德已成为全球领先的磁性材料供应商。在全球数十个业务区域拥有超过4000个客户，其中美国本土以外的营业额占总营业额的40%。阿诺德认识到亚太市场的巨大潜力，已于1999年在深圳设立制造中心—阿诺德磁材（深圳）有限公司，主要从事软磁磁粉芯的制造、打（复）印机关键零部件的生产和组装以及粘结磁业务。</w:t>
      </w:r>
    </w:p>
    <w:p>
      <w:pPr>
        <w:ind w:firstLine="640" w:firstLineChars="0"/>
        <w:outlineLvl w:val="2"/>
        <w:rPr>
          <w:rFonts w:eastAsia="楷体"/>
        </w:rPr>
      </w:pPr>
      <w:bookmarkStart w:id="200" w:name="_Toc465348322"/>
      <w:bookmarkStart w:id="201" w:name="_Toc467576808"/>
      <w:bookmarkStart w:id="202" w:name="_Toc475457013"/>
      <w:bookmarkStart w:id="203" w:name="_Toc461614569"/>
      <w:r>
        <w:rPr>
          <w:rFonts w:ascii="Times New Roman" w:hAnsi="Times New Roman" w:eastAsia="楷体"/>
        </w:rPr>
        <w:t>5</w:t>
      </w:r>
      <w:r>
        <w:rPr>
          <w:rFonts w:hint="eastAsia" w:ascii="Times New Roman" w:hAnsi="Times New Roman" w:eastAsia="楷体"/>
        </w:rPr>
        <w:t>、美磁科技公司</w:t>
      </w:r>
      <w:bookmarkEnd w:id="200"/>
      <w:bookmarkEnd w:id="201"/>
      <w:bookmarkEnd w:id="202"/>
      <w:bookmarkEnd w:id="203"/>
    </w:p>
    <w:p>
      <w:pPr>
        <w:pStyle w:val="35"/>
        <w:ind w:firstLine="640"/>
      </w:pPr>
      <w:r>
        <w:t>美磁公司(MAGNETICS) ，1949年成立于美国宾州，是世界电子行业中居领先地位的高性能软磁磁性材料的</w:t>
      </w:r>
      <w:r>
        <w:rPr>
          <w:rFonts w:hint="eastAsia"/>
        </w:rPr>
        <w:t>生产</w:t>
      </w:r>
      <w:r>
        <w:t>供应商。MAGNETICS 作为Spang &amp; Co.最大的分公司，一直是世界上为电子行业提供高精密度、高磁导率元件和材料的主要供应商。美磁产品包括，铁硅铝磁粉芯(Kool Mu，Sendust)，钼坡莫MPP(铁镍钼磁粉芯)，高磁通High Flux(铁镍磁粉芯) ，铁硅合金XFLUX，锰锌铁氧体磁芯，以及绕带磁芯等。主要应用于各类型扼流圈，电感器，滤波器，变压器，使用新能源的供电系统(太阳能</w:t>
      </w:r>
      <w:r>
        <w:rPr>
          <w:rFonts w:hint="eastAsia"/>
        </w:rPr>
        <w:t>、</w:t>
      </w:r>
      <w:r>
        <w:t>风能转换)，电信，航空航天，汽车，军事，计算机，医疗等电子系统。</w:t>
      </w:r>
    </w:p>
    <w:p>
      <w:pPr>
        <w:pStyle w:val="35"/>
        <w:ind w:firstLine="640"/>
      </w:pPr>
      <w:r>
        <w:t>2004年底已在中国厦门建厂，规模达3000万美金</w:t>
      </w:r>
      <w:r>
        <w:rPr>
          <w:rFonts w:hint="eastAsia"/>
        </w:rPr>
        <w:t>，</w:t>
      </w:r>
      <w:r>
        <w:t>出货可达2亿人民币</w:t>
      </w:r>
      <w:r>
        <w:rPr>
          <w:rFonts w:hint="eastAsia"/>
        </w:rPr>
        <w:t>，</w:t>
      </w:r>
      <w:r>
        <w:t xml:space="preserve">已全面获得ISO9001认证，并成为主力生产地点所在。目前在大中华区有两家代理，一家为巨路国际股份有限公司，另一家为南科电子有限公司。 </w:t>
      </w:r>
    </w:p>
    <w:p>
      <w:pPr>
        <w:ind w:firstLine="640" w:firstLineChars="0"/>
        <w:outlineLvl w:val="2"/>
        <w:rPr>
          <w:rFonts w:eastAsia="楷体"/>
        </w:rPr>
      </w:pPr>
      <w:bookmarkStart w:id="204" w:name="_Toc465348323"/>
      <w:bookmarkStart w:id="205" w:name="_Toc461614570"/>
      <w:bookmarkStart w:id="206" w:name="_Toc467576809"/>
      <w:bookmarkStart w:id="207" w:name="_Toc475457014"/>
      <w:r>
        <w:rPr>
          <w:rFonts w:ascii="Times New Roman" w:hAnsi="Times New Roman" w:eastAsia="楷体"/>
        </w:rPr>
        <w:t>6</w:t>
      </w:r>
      <w:r>
        <w:rPr>
          <w:rFonts w:hint="eastAsia" w:ascii="Times New Roman" w:hAnsi="Times New Roman" w:eastAsia="楷体"/>
        </w:rPr>
        <w:t>、日本国电磁测器株式会社</w:t>
      </w:r>
      <w:bookmarkEnd w:id="204"/>
      <w:bookmarkEnd w:id="205"/>
      <w:bookmarkEnd w:id="206"/>
      <w:bookmarkEnd w:id="207"/>
    </w:p>
    <w:p>
      <w:pPr>
        <w:pStyle w:val="35"/>
        <w:ind w:firstLine="640"/>
      </w:pPr>
      <w:r>
        <w:t>日本国电磁测器株式会社（简称NDK）专注于磁性材料的研究60余载，是日本充磁设备生产行业的领军企业，跻身世界顶尖公司行列，带着领先的科学技术和雄厚的资金实力，在中国上海先后投资成立了上海平野（瑞穗）磁气有限公司和上海笠原电装有限公司，引领了国内整个磁性材料行业的科技进步，促进了产业的蓬勃发展。</w:t>
      </w:r>
    </w:p>
    <w:p>
      <w:pPr>
        <w:pStyle w:val="35"/>
        <w:ind w:firstLine="640"/>
      </w:pPr>
      <w:r>
        <w:rPr>
          <w:rFonts w:hint="eastAsia"/>
        </w:rPr>
        <w:t>其中，</w:t>
      </w:r>
      <w:r>
        <w:t>上海平野（瑞穗）磁气有限公司主要从事节能永磁材料先端设备的引进、开发、制造和销售，是一所集高端专业技术人才的科技型企业。上海笠原电装有限公司在华成立，又为国内磁性材料制造设备的升级换代拉开了新的篇章。随全球环境保护的需求，公司正积极关注并倡导有效利用稀土资源，从NDK公司引进磁性粉末成型技术，使得极低材料损耗的成型烧制工艺在国内得以实现。目前公司是国内唯一拥有这一尖端技术，并能够研制、生产磁性压机的企业，这必将为造福于社会</w:t>
      </w:r>
      <w:r>
        <w:rPr>
          <w:rFonts w:hint="eastAsia"/>
          <w:lang w:val="en-US" w:eastAsia="zh-CN"/>
        </w:rPr>
        <w:t>作出</w:t>
      </w:r>
      <w:r>
        <w:t>基础贡献。</w:t>
      </w:r>
    </w:p>
    <w:p>
      <w:pPr>
        <w:ind w:firstLine="640" w:firstLineChars="0"/>
        <w:outlineLvl w:val="2"/>
        <w:rPr>
          <w:rFonts w:eastAsia="楷体"/>
        </w:rPr>
      </w:pPr>
      <w:bookmarkStart w:id="208" w:name="_Toc475457015"/>
      <w:bookmarkStart w:id="209" w:name="_Toc461614571"/>
      <w:bookmarkStart w:id="210" w:name="_Toc465348324"/>
      <w:bookmarkStart w:id="211" w:name="_Toc467576810"/>
      <w:r>
        <w:rPr>
          <w:rFonts w:ascii="Times New Roman" w:hAnsi="Times New Roman" w:eastAsia="楷体"/>
        </w:rPr>
        <w:t>7</w:t>
      </w:r>
      <w:r>
        <w:rPr>
          <w:rFonts w:hint="eastAsia" w:ascii="Times New Roman" w:hAnsi="Times New Roman" w:eastAsia="楷体"/>
        </w:rPr>
        <w:t>、日本</w:t>
      </w:r>
      <w:r>
        <w:rPr>
          <w:rFonts w:ascii="Times New Roman" w:hAnsi="Times New Roman" w:eastAsia="楷体"/>
        </w:rPr>
        <w:t>TDK</w:t>
      </w:r>
      <w:r>
        <w:rPr>
          <w:rFonts w:hint="eastAsia" w:ascii="Times New Roman" w:hAnsi="Times New Roman" w:eastAsia="楷体"/>
        </w:rPr>
        <w:t>公司</w:t>
      </w:r>
      <w:bookmarkEnd w:id="208"/>
      <w:bookmarkEnd w:id="209"/>
      <w:bookmarkEnd w:id="210"/>
      <w:bookmarkEnd w:id="211"/>
    </w:p>
    <w:p>
      <w:pPr>
        <w:pStyle w:val="35"/>
        <w:ind w:firstLine="640"/>
      </w:pPr>
      <w:r>
        <w:t>TDK公司是电子材料</w:t>
      </w:r>
      <w:r>
        <w:rPr>
          <w:rFonts w:hint="eastAsia"/>
        </w:rPr>
        <w:t>、</w:t>
      </w:r>
      <w:r>
        <w:t>元器件的综合制造商，于1935年成立于日本，建厂初期以主要以生产PERRITE(肥力铁)为中心的磁性材料产品，进而以录音带，录像带闻名于世，目前三大支柱产品为：以生产PERRITE(肥力铁)为中心的磁性材料产品，以电路元件为中心的电子元器件产品以及与电脑周边零件为中心的记录元件产品。产品广泛应用于资讯</w:t>
      </w:r>
      <w:r>
        <w:rPr>
          <w:rFonts w:hint="eastAsia"/>
        </w:rPr>
        <w:t>、</w:t>
      </w:r>
      <w:r>
        <w:t>通讯</w:t>
      </w:r>
      <w:r>
        <w:rPr>
          <w:rFonts w:hint="eastAsia"/>
        </w:rPr>
        <w:t>、</w:t>
      </w:r>
      <w:r>
        <w:t>家用电器以及消费型电子产品，如移动电话</w:t>
      </w:r>
      <w:r>
        <w:rPr>
          <w:rFonts w:hint="eastAsia"/>
        </w:rPr>
        <w:t>、</w:t>
      </w:r>
      <w:r>
        <w:t>笔记本电脑</w:t>
      </w:r>
      <w:r>
        <w:rPr>
          <w:rFonts w:hint="eastAsia"/>
        </w:rPr>
        <w:t>、</w:t>
      </w:r>
      <w:r>
        <w:t>DVD/HDD录影机</w:t>
      </w:r>
      <w:r>
        <w:rPr>
          <w:rFonts w:hint="eastAsia"/>
        </w:rPr>
        <w:t>、</w:t>
      </w:r>
      <w:r>
        <w:t>平面显示器</w:t>
      </w:r>
      <w:r>
        <w:rPr>
          <w:rFonts w:hint="eastAsia"/>
        </w:rPr>
        <w:t>、</w:t>
      </w:r>
      <w:r>
        <w:t>汽车及其导航系统等</w:t>
      </w:r>
      <w:r>
        <w:rPr>
          <w:rFonts w:hint="eastAsia"/>
        </w:rPr>
        <w:t>。</w:t>
      </w:r>
    </w:p>
    <w:p>
      <w:pPr>
        <w:pStyle w:val="35"/>
        <w:ind w:firstLine="640"/>
      </w:pPr>
      <w:r>
        <w:t>从80年代开始，TDK正式踏足中国大陆，20多年来分别在华东、华南及华北等多个地区相继建立生产基地，业务扩展全国。作为世界著名的电子工业品牌，TDK一直在电子原材料及元器件上占有领导地位。</w:t>
      </w:r>
    </w:p>
    <w:p>
      <w:pPr>
        <w:ind w:firstLine="640" w:firstLineChars="0"/>
        <w:outlineLvl w:val="2"/>
        <w:rPr>
          <w:rFonts w:eastAsia="楷体"/>
        </w:rPr>
      </w:pPr>
      <w:bookmarkStart w:id="212" w:name="_Toc461614572"/>
      <w:bookmarkStart w:id="213" w:name="_Toc465348325"/>
      <w:bookmarkStart w:id="214" w:name="_Toc467576811"/>
      <w:r>
        <w:rPr>
          <w:rFonts w:ascii="Times New Roman" w:hAnsi="Times New Roman" w:eastAsia="楷体"/>
        </w:rPr>
        <w:t>8</w:t>
      </w:r>
      <w:r>
        <w:rPr>
          <w:rFonts w:hint="eastAsia" w:ascii="Times New Roman" w:hAnsi="Times New Roman" w:eastAsia="楷体"/>
        </w:rPr>
        <w:t>、日本日立</w:t>
      </w:r>
      <w:r>
        <w:rPr>
          <w:rFonts w:ascii="Times New Roman" w:hAnsi="Times New Roman" w:eastAsia="楷体"/>
        </w:rPr>
        <w:t>NEOMAX</w:t>
      </w:r>
      <w:bookmarkEnd w:id="212"/>
      <w:bookmarkEnd w:id="213"/>
      <w:bookmarkEnd w:id="214"/>
    </w:p>
    <w:p>
      <w:pPr>
        <w:pStyle w:val="35"/>
        <w:ind w:firstLine="640"/>
      </w:pPr>
      <w:r>
        <w:rPr>
          <w:rFonts w:hint="eastAsia"/>
        </w:rPr>
        <w:t>日本日立于2007年4月与全球最大的钕铁硼制造商日本住友合并成立日立NEOMAX，凭借日本日立拥有全球销售网，日本住友拥有钕铁硼的专利和技术，合并后的日立NEOMAX成为了全球高性能钕铁硼永磁材料行业的龙头企业。该公司主要产品包括按内禀矫顽力大小划分的各型号高性能钕铁硼永磁材料和高性能辐射环等。</w:t>
      </w:r>
    </w:p>
    <w:p>
      <w:pPr>
        <w:pStyle w:val="35"/>
        <w:ind w:firstLine="640"/>
      </w:pPr>
      <w:r>
        <w:rPr>
          <w:rFonts w:hint="eastAsia"/>
        </w:rPr>
        <w:t>2016年，日立金属和北京中科三环高技能股分无限公司协作，建立钕磁铁合伙公司——日立金属三环磁材（南通）无限公司。</w:t>
      </w:r>
    </w:p>
    <w:p>
      <w:pPr>
        <w:pStyle w:val="5"/>
        <w:ind w:firstLine="560"/>
        <w:jc w:val="center"/>
        <w:outlineLvl w:val="8"/>
        <w:rPr>
          <w:sz w:val="28"/>
          <w:szCs w:val="28"/>
        </w:rPr>
      </w:pPr>
      <w:r>
        <w:rPr>
          <w:rFonts w:hint="eastAsia" w:ascii="Times New Roman" w:hAnsi="Times New Roman" w:cs="Times New Roman"/>
          <w:sz w:val="28"/>
          <w:szCs w:val="28"/>
        </w:rPr>
        <w:t>附表</w:t>
      </w:r>
      <w:r>
        <w:rPr>
          <w:rFonts w:ascii="Times New Roman" w:hAnsi="Times New Roman" w:cs="Times New Roman"/>
          <w:sz w:val="28"/>
          <w:szCs w:val="28"/>
        </w:rPr>
        <w:t xml:space="preserve">4  </w:t>
      </w:r>
      <w:r>
        <w:rPr>
          <w:rFonts w:hint="eastAsia" w:ascii="Times New Roman" w:hAnsi="Times New Roman" w:cs="Times New Roman"/>
          <w:sz w:val="28"/>
          <w:szCs w:val="28"/>
        </w:rPr>
        <w:t>全球顶尖磁材企业对比</w:t>
      </w:r>
    </w:p>
    <w:tbl>
      <w:tblPr>
        <w:tblStyle w:val="15"/>
        <w:tblW w:w="5895" w:type="pct"/>
        <w:tblInd w:w="-714"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8"/>
        <w:gridCol w:w="2331"/>
        <w:gridCol w:w="3203"/>
        <w:gridCol w:w="276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blHeader/>
        </w:trPr>
        <w:tc>
          <w:tcPr>
            <w:tcW w:w="870" w:type="pct"/>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hint="eastAsia" w:ascii="Times New Roman" w:hAnsi="Times New Roman"/>
                <w:sz w:val="24"/>
                <w:szCs w:val="24"/>
              </w:rPr>
              <w:t>企业名称</w:t>
            </w:r>
          </w:p>
        </w:tc>
        <w:tc>
          <w:tcPr>
            <w:tcW w:w="1160" w:type="pct"/>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hint="eastAsia" w:ascii="Times New Roman" w:hAnsi="Times New Roman"/>
                <w:sz w:val="24"/>
                <w:szCs w:val="24"/>
              </w:rPr>
              <w:t>主导产品</w:t>
            </w:r>
          </w:p>
        </w:tc>
        <w:tc>
          <w:tcPr>
            <w:tcW w:w="1594" w:type="pct"/>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hint="eastAsia" w:ascii="Times New Roman" w:hAnsi="Times New Roman"/>
                <w:sz w:val="24"/>
                <w:szCs w:val="24"/>
              </w:rPr>
              <w:t>行业地位</w:t>
            </w:r>
            <w:r>
              <w:rPr>
                <w:rFonts w:ascii="Times New Roman" w:hAnsi="Times New Roman"/>
                <w:sz w:val="24"/>
                <w:szCs w:val="24"/>
              </w:rPr>
              <w:t>&amp;</w:t>
            </w:r>
            <w:r>
              <w:rPr>
                <w:rFonts w:hint="eastAsia" w:ascii="Times New Roman" w:hAnsi="Times New Roman"/>
                <w:sz w:val="24"/>
                <w:szCs w:val="24"/>
              </w:rPr>
              <w:t>竞争力</w:t>
            </w:r>
          </w:p>
        </w:tc>
        <w:tc>
          <w:tcPr>
            <w:tcW w:w="1376" w:type="pct"/>
            <w:shd w:val="clear" w:color="auto" w:fill="D8D8D8" w:themeFill="background1" w:themeFillShade="D9"/>
            <w:vAlign w:val="center"/>
          </w:tcPr>
          <w:p>
            <w:pPr>
              <w:widowControl/>
              <w:ind w:firstLine="0" w:firstLineChars="0"/>
              <w:jc w:val="center"/>
              <w:rPr>
                <w:rFonts w:ascii="Times New Roman" w:hAnsi="Times New Roman"/>
                <w:sz w:val="24"/>
                <w:szCs w:val="24"/>
              </w:rPr>
            </w:pPr>
            <w:r>
              <w:rPr>
                <w:rFonts w:hint="eastAsia" w:ascii="Times New Roman" w:hAnsi="Times New Roman"/>
                <w:sz w:val="24"/>
                <w:szCs w:val="24"/>
              </w:rPr>
              <w:t>说明</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87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德国</w:t>
            </w:r>
            <w:r>
              <w:rPr>
                <w:rFonts w:ascii="Times New Roman" w:hAnsi="Times New Roman"/>
                <w:sz w:val="24"/>
                <w:szCs w:val="24"/>
              </w:rPr>
              <w:t>VAC</w:t>
            </w:r>
            <w:r>
              <w:rPr>
                <w:rFonts w:hint="eastAsia" w:ascii="Times New Roman" w:hAnsi="Times New Roman"/>
                <w:sz w:val="24"/>
                <w:szCs w:val="24"/>
              </w:rPr>
              <w:t>公司</w:t>
            </w:r>
          </w:p>
        </w:tc>
        <w:tc>
          <w:tcPr>
            <w:tcW w:w="116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从软磁产品到高性能钕铁硼永磁材料，拥有完整的磁性材料产品系列</w:t>
            </w:r>
          </w:p>
        </w:tc>
        <w:tc>
          <w:tcPr>
            <w:tcW w:w="1594"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全球高性能磁性材料及器件生产商的领导者</w:t>
            </w:r>
          </w:p>
        </w:tc>
        <w:tc>
          <w:tcPr>
            <w:tcW w:w="1376"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全球屈指可数的可以给客户提供整套磁性技术方案的跨国公司之一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87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德国瓦克华磁性材料公司</w:t>
            </w:r>
          </w:p>
        </w:tc>
        <w:tc>
          <w:tcPr>
            <w:tcW w:w="116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电感元器件制造等产品</w:t>
            </w:r>
          </w:p>
        </w:tc>
        <w:tc>
          <w:tcPr>
            <w:tcW w:w="1594"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全球最大的生产磁性材料、非晶态及纳米晶磁性电感元器件的专业公司之一</w:t>
            </w:r>
          </w:p>
        </w:tc>
        <w:tc>
          <w:tcPr>
            <w:tcW w:w="1376"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在德国、斯洛伐克、美国、中国、马来西亚建有工厂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7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美国莱尔德电子材料集团</w:t>
            </w:r>
          </w:p>
        </w:tc>
        <w:tc>
          <w:tcPr>
            <w:tcW w:w="116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电磁屏蔽材料、导热界面材料和无线天线产品</w:t>
            </w:r>
          </w:p>
        </w:tc>
        <w:tc>
          <w:tcPr>
            <w:tcW w:w="1594"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向客户提供全球技术解决方案及当地制造就近供货</w:t>
            </w:r>
          </w:p>
        </w:tc>
        <w:tc>
          <w:tcPr>
            <w:tcW w:w="1376"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自</w:t>
            </w:r>
            <w:r>
              <w:rPr>
                <w:rFonts w:ascii="Times New Roman" w:hAnsi="Times New Roman"/>
                <w:sz w:val="24"/>
                <w:szCs w:val="24"/>
              </w:rPr>
              <w:t>2000</w:t>
            </w:r>
            <w:r>
              <w:rPr>
                <w:rFonts w:hint="eastAsia" w:ascii="Times New Roman" w:hAnsi="Times New Roman"/>
                <w:sz w:val="24"/>
                <w:szCs w:val="24"/>
              </w:rPr>
              <w:t>年进入中国的市场</w:t>
            </w:r>
            <w:r>
              <w:rPr>
                <w:rFonts w:ascii="Times New Roman" w:hAnsi="Times New Roman"/>
                <w:sz w:val="24"/>
                <w:szCs w:val="24"/>
              </w:rPr>
              <w:t xml:space="preserve">, </w:t>
            </w:r>
            <w:r>
              <w:rPr>
                <w:rFonts w:hint="eastAsia" w:ascii="Times New Roman" w:hAnsi="Times New Roman"/>
                <w:sz w:val="24"/>
                <w:szCs w:val="24"/>
              </w:rPr>
              <w:t>已拥有八家大型生产制造企业</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7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美国阿诺德磁技术公司</w:t>
            </w:r>
          </w:p>
        </w:tc>
        <w:tc>
          <w:tcPr>
            <w:tcW w:w="116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世界上品种最多的磁性材料和部件供应商之一</w:t>
            </w:r>
          </w:p>
        </w:tc>
        <w:tc>
          <w:tcPr>
            <w:tcW w:w="1594"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全球领先的磁性材料供应商</w:t>
            </w:r>
          </w:p>
        </w:tc>
        <w:tc>
          <w:tcPr>
            <w:tcW w:w="1376"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于</w:t>
            </w:r>
            <w:r>
              <w:rPr>
                <w:rFonts w:ascii="Times New Roman" w:hAnsi="Times New Roman"/>
                <w:sz w:val="24"/>
                <w:szCs w:val="24"/>
              </w:rPr>
              <w:t>1999</w:t>
            </w:r>
            <w:r>
              <w:rPr>
                <w:rFonts w:hint="eastAsia" w:ascii="Times New Roman" w:hAnsi="Times New Roman"/>
                <w:sz w:val="24"/>
                <w:szCs w:val="24"/>
              </w:rPr>
              <w:t>年在深圳设立制造中心—阿诺德磁材（深圳）有限公司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87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美磁科技公司</w:t>
            </w:r>
          </w:p>
        </w:tc>
        <w:tc>
          <w:tcPr>
            <w:tcW w:w="116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铁硅铝磁粉芯、锰锌铁氧体磁芯、磁芯等</w:t>
            </w:r>
          </w:p>
        </w:tc>
        <w:tc>
          <w:tcPr>
            <w:tcW w:w="1594"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世界电子行业中居领先地位的高性能软磁磁性材料的生产供应商</w:t>
            </w:r>
          </w:p>
        </w:tc>
        <w:tc>
          <w:tcPr>
            <w:tcW w:w="1376" w:type="pct"/>
            <w:shd w:val="clear" w:color="auto" w:fill="auto"/>
            <w:vAlign w:val="center"/>
          </w:tcPr>
          <w:p>
            <w:pPr>
              <w:widowControl/>
              <w:ind w:firstLine="0" w:firstLineChars="0"/>
              <w:jc w:val="left"/>
              <w:rPr>
                <w:rFonts w:ascii="Times New Roman" w:hAnsi="Times New Roman"/>
                <w:sz w:val="24"/>
                <w:szCs w:val="24"/>
              </w:rPr>
            </w:pPr>
            <w:r>
              <w:rPr>
                <w:rFonts w:ascii="Times New Roman" w:hAnsi="Times New Roman"/>
                <w:sz w:val="24"/>
                <w:szCs w:val="24"/>
              </w:rPr>
              <w:t>2004</w:t>
            </w:r>
            <w:r>
              <w:rPr>
                <w:rFonts w:hint="eastAsia" w:ascii="Times New Roman" w:hAnsi="Times New Roman"/>
                <w:sz w:val="24"/>
                <w:szCs w:val="24"/>
              </w:rPr>
              <w:t>年底已在中国厦门建厂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87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日本国电磁测器株式会社</w:t>
            </w:r>
          </w:p>
        </w:tc>
        <w:tc>
          <w:tcPr>
            <w:tcW w:w="116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充磁设备生产</w:t>
            </w:r>
          </w:p>
        </w:tc>
        <w:tc>
          <w:tcPr>
            <w:tcW w:w="1594"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日本充磁设备生产行业的领军企业，跻身世界顶尖公司行列</w:t>
            </w:r>
          </w:p>
        </w:tc>
        <w:tc>
          <w:tcPr>
            <w:tcW w:w="1376"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在中国上海先后投资成立了上海平野（瑞穗）磁气有限公司和上海笠原电装有限公司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87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日本</w:t>
            </w:r>
            <w:r>
              <w:rPr>
                <w:rFonts w:ascii="Times New Roman" w:hAnsi="Times New Roman"/>
                <w:sz w:val="24"/>
                <w:szCs w:val="24"/>
              </w:rPr>
              <w:t>TDK</w:t>
            </w:r>
            <w:r>
              <w:rPr>
                <w:rFonts w:hint="eastAsia" w:ascii="Times New Roman" w:hAnsi="Times New Roman"/>
                <w:sz w:val="24"/>
                <w:szCs w:val="24"/>
              </w:rPr>
              <w:t>公司</w:t>
            </w:r>
          </w:p>
        </w:tc>
        <w:tc>
          <w:tcPr>
            <w:tcW w:w="116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磁性材料产品、电子元器件产品和记录元件产品</w:t>
            </w:r>
          </w:p>
        </w:tc>
        <w:tc>
          <w:tcPr>
            <w:tcW w:w="1594"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世界著名的电子工业品牌，一直在电子原材料及元器件上占有领导地位</w:t>
            </w:r>
          </w:p>
        </w:tc>
        <w:tc>
          <w:tcPr>
            <w:tcW w:w="1376"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从</w:t>
            </w:r>
            <w:r>
              <w:rPr>
                <w:rFonts w:ascii="Times New Roman" w:hAnsi="Times New Roman"/>
                <w:sz w:val="24"/>
                <w:szCs w:val="24"/>
              </w:rPr>
              <w:t>80</w:t>
            </w:r>
            <w:r>
              <w:rPr>
                <w:rFonts w:hint="eastAsia" w:ascii="Times New Roman" w:hAnsi="Times New Roman"/>
                <w:sz w:val="24"/>
                <w:szCs w:val="24"/>
              </w:rPr>
              <w:t>年代开始，在华东、华南及华北等多个地区相继建立生产基地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87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日本日立</w:t>
            </w:r>
            <w:r>
              <w:rPr>
                <w:rFonts w:ascii="Times New Roman" w:hAnsi="Times New Roman"/>
                <w:sz w:val="24"/>
                <w:szCs w:val="24"/>
              </w:rPr>
              <w:t>NEOMAX</w:t>
            </w:r>
          </w:p>
        </w:tc>
        <w:tc>
          <w:tcPr>
            <w:tcW w:w="1160"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各型号高性能钕铁硼永磁材料和高性能辐射环等</w:t>
            </w:r>
          </w:p>
        </w:tc>
        <w:tc>
          <w:tcPr>
            <w:tcW w:w="1594" w:type="pct"/>
            <w:shd w:val="clear" w:color="auto" w:fill="auto"/>
            <w:vAlign w:val="center"/>
          </w:tcPr>
          <w:p>
            <w:pPr>
              <w:widowControl/>
              <w:ind w:firstLine="0" w:firstLineChars="0"/>
              <w:jc w:val="left"/>
              <w:rPr>
                <w:rFonts w:ascii="Times New Roman" w:hAnsi="Times New Roman"/>
                <w:sz w:val="24"/>
                <w:szCs w:val="24"/>
              </w:rPr>
            </w:pPr>
            <w:r>
              <w:rPr>
                <w:rFonts w:hint="eastAsia" w:ascii="Times New Roman" w:hAnsi="Times New Roman"/>
                <w:sz w:val="24"/>
                <w:szCs w:val="24"/>
              </w:rPr>
              <w:t>全球高性能钕铁硼永磁材料行业的龙头企业</w:t>
            </w:r>
          </w:p>
        </w:tc>
        <w:tc>
          <w:tcPr>
            <w:tcW w:w="1376" w:type="pct"/>
            <w:shd w:val="clear" w:color="auto" w:fill="auto"/>
            <w:vAlign w:val="center"/>
          </w:tcPr>
          <w:p>
            <w:pPr>
              <w:widowControl/>
              <w:ind w:firstLine="0" w:firstLineChars="0"/>
              <w:jc w:val="left"/>
              <w:rPr>
                <w:rFonts w:ascii="Times New Roman" w:hAnsi="Times New Roman"/>
                <w:sz w:val="24"/>
                <w:szCs w:val="24"/>
              </w:rPr>
            </w:pPr>
            <w:r>
              <w:rPr>
                <w:rFonts w:ascii="Times New Roman" w:hAnsi="Times New Roman"/>
                <w:sz w:val="24"/>
                <w:szCs w:val="24"/>
              </w:rPr>
              <w:t>2016</w:t>
            </w:r>
            <w:r>
              <w:rPr>
                <w:rFonts w:hint="eastAsia" w:ascii="Times New Roman" w:hAnsi="Times New Roman"/>
                <w:sz w:val="24"/>
                <w:szCs w:val="24"/>
              </w:rPr>
              <w:t>年，日立金属和北京中科三环协作，建立日立金属三环磁材（南通）无限公司</w:t>
            </w:r>
          </w:p>
        </w:tc>
      </w:tr>
    </w:tbl>
    <w:p>
      <w:pPr>
        <w:pStyle w:val="35"/>
        <w:ind w:firstLine="0" w:firstLineChars="0"/>
      </w:pPr>
    </w:p>
    <w:sectPr>
      <w:footerReference r:id="rId13" w:type="default"/>
      <w:pgSz w:w="11906" w:h="16838"/>
      <w:pgMar w:top="1440" w:right="1800" w:bottom="1440" w:left="180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altName w:val="方正舒体"/>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560"/>
      <w:jc w:val="center"/>
      <w:rPr>
        <w:rFonts w:ascii="Times New Roman" w:hAnsi="Times New Roman"/>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8756695"/>
      <w:docPartObj>
        <w:docPartGallery w:val="AutoText"/>
      </w:docPartObj>
    </w:sdtPr>
    <w:sdtContent>
      <w:p>
        <w:pPr>
          <w:pStyle w:val="9"/>
          <w:ind w:firstLine="360"/>
          <w:jc w:val="center"/>
        </w:pP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II</w:t>
        </w:r>
        <w:r>
          <w:rPr>
            <w:rFonts w:ascii="Times New Roman" w:hAnsi="Times New Roman"/>
            <w:sz w:val="28"/>
            <w:szCs w:val="28"/>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7390024"/>
      <w:docPartObj>
        <w:docPartGallery w:val="AutoText"/>
      </w:docPartObj>
    </w:sdtPr>
    <w:sdtContent>
      <w:p>
        <w:pPr>
          <w:pStyle w:val="9"/>
          <w:ind w:firstLine="360"/>
          <w:jc w:val="center"/>
        </w:pP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16</w:t>
        </w:r>
        <w:r>
          <w:rPr>
            <w:rFonts w:ascii="Times New Roman" w:hAnsi="Times New Roman"/>
            <w:sz w:val="28"/>
            <w:szCs w:val="28"/>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41739990"/>
      <w:docPartObj>
        <w:docPartGallery w:val="AutoText"/>
      </w:docPartObj>
    </w:sdtPr>
    <w:sdtEndPr>
      <w:rPr>
        <w:rFonts w:ascii="Times New Roman" w:hAnsi="Times New Roman"/>
        <w:sz w:val="28"/>
        <w:szCs w:val="28"/>
      </w:rPr>
    </w:sdtEndPr>
    <w:sdtContent>
      <w:p>
        <w:pPr>
          <w:pStyle w:val="9"/>
          <w:ind w:firstLine="360"/>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45</w:t>
        </w:r>
        <w:r>
          <w:rPr>
            <w:rFonts w:ascii="Times New Roman" w:hAnsi="Times New Roman"/>
            <w:sz w:val="28"/>
            <w:szCs w:val="28"/>
          </w:rPr>
          <w:fldChar w:fldCharType="end"/>
        </w:r>
      </w:p>
    </w:sdtContent>
  </w:sdt>
  <w:p>
    <w:pPr>
      <w:pStyle w:val="9"/>
      <w:ind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ind w:firstLine="640"/>
      </w:pPr>
      <w:r>
        <w:separator/>
      </w:r>
    </w:p>
  </w:footnote>
  <w:footnote w:type="continuationSeparator" w:id="5">
    <w:p>
      <w:pPr>
        <w:ind w:firstLine="640"/>
      </w:pPr>
      <w:r>
        <w:continuationSeparator/>
      </w:r>
    </w:p>
  </w:footnote>
  <w:footnote w:id="0">
    <w:p>
      <w:pPr>
        <w:pStyle w:val="12"/>
        <w:ind w:firstLine="360"/>
      </w:pPr>
      <w:r>
        <w:rPr>
          <w:rStyle w:val="20"/>
        </w:rPr>
        <w:footnoteRef/>
      </w:r>
      <w:r>
        <w:t xml:space="preserve"> </w:t>
      </w:r>
      <w:r>
        <w:rPr>
          <w:rFonts w:hint="eastAsia"/>
        </w:rPr>
        <w:t>关于</w:t>
      </w:r>
      <w:r>
        <w:t>2016年度浙江省智能制造试点示范评价结果的公示</w:t>
      </w:r>
      <w:r>
        <w:rPr>
          <w:rFonts w:hint="eastAsia"/>
        </w:rPr>
        <w:t>。</w:t>
      </w:r>
    </w:p>
  </w:footnote>
  <w:footnote w:id="1">
    <w:p>
      <w:pPr>
        <w:pStyle w:val="12"/>
        <w:ind w:firstLine="360"/>
      </w:pPr>
      <w:r>
        <w:rPr>
          <w:rStyle w:val="20"/>
        </w:rPr>
        <w:footnoteRef/>
      </w:r>
      <w:r>
        <w:t xml:space="preserve"> </w:t>
      </w:r>
      <w:r>
        <w:rPr>
          <w:rFonts w:hint="eastAsia"/>
        </w:rPr>
        <w:t>《浙江省重大产业项目申报及奖励管理办法（修订）》（浙发改法规〔2014〕504号）</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4"/>
    <w:footnote w:id="5"/>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RjNDU5OTMwNGFiNmU5NjdkMzQ3ZjI1NTgzYjgxNGMifQ=="/>
  </w:docVars>
  <w:rsids>
    <w:rsidRoot w:val="00CE455E"/>
    <w:rsid w:val="00002293"/>
    <w:rsid w:val="00005DA4"/>
    <w:rsid w:val="000104DE"/>
    <w:rsid w:val="00016668"/>
    <w:rsid w:val="00016EDA"/>
    <w:rsid w:val="00022A27"/>
    <w:rsid w:val="00024298"/>
    <w:rsid w:val="00027F6C"/>
    <w:rsid w:val="000305A4"/>
    <w:rsid w:val="000305C6"/>
    <w:rsid w:val="00042125"/>
    <w:rsid w:val="000421D8"/>
    <w:rsid w:val="000476E3"/>
    <w:rsid w:val="00055AB5"/>
    <w:rsid w:val="0005745D"/>
    <w:rsid w:val="00063FE1"/>
    <w:rsid w:val="0006539A"/>
    <w:rsid w:val="00066A7C"/>
    <w:rsid w:val="00080075"/>
    <w:rsid w:val="000951E7"/>
    <w:rsid w:val="000A3895"/>
    <w:rsid w:val="000A5642"/>
    <w:rsid w:val="000B4396"/>
    <w:rsid w:val="000B4EF5"/>
    <w:rsid w:val="000C0FFC"/>
    <w:rsid w:val="000C3C3E"/>
    <w:rsid w:val="000C43B4"/>
    <w:rsid w:val="000D1EA3"/>
    <w:rsid w:val="000E3C6A"/>
    <w:rsid w:val="000E7F11"/>
    <w:rsid w:val="000F0A4A"/>
    <w:rsid w:val="000F5C02"/>
    <w:rsid w:val="001062FB"/>
    <w:rsid w:val="00121B32"/>
    <w:rsid w:val="00121E04"/>
    <w:rsid w:val="00123573"/>
    <w:rsid w:val="0013036B"/>
    <w:rsid w:val="00130F5E"/>
    <w:rsid w:val="00134E15"/>
    <w:rsid w:val="0013586E"/>
    <w:rsid w:val="0014189E"/>
    <w:rsid w:val="00143249"/>
    <w:rsid w:val="001451D2"/>
    <w:rsid w:val="001456A3"/>
    <w:rsid w:val="00147DE2"/>
    <w:rsid w:val="0015092A"/>
    <w:rsid w:val="0015143E"/>
    <w:rsid w:val="001518D2"/>
    <w:rsid w:val="00152F21"/>
    <w:rsid w:val="00154A4F"/>
    <w:rsid w:val="00156A3E"/>
    <w:rsid w:val="00157A42"/>
    <w:rsid w:val="0016276B"/>
    <w:rsid w:val="0016408A"/>
    <w:rsid w:val="001642AF"/>
    <w:rsid w:val="00164F96"/>
    <w:rsid w:val="0017126F"/>
    <w:rsid w:val="00171D78"/>
    <w:rsid w:val="00185132"/>
    <w:rsid w:val="00186EAD"/>
    <w:rsid w:val="00190FAE"/>
    <w:rsid w:val="00191343"/>
    <w:rsid w:val="00192BD1"/>
    <w:rsid w:val="00193EA0"/>
    <w:rsid w:val="001977E5"/>
    <w:rsid w:val="00197FE7"/>
    <w:rsid w:val="001A3BE4"/>
    <w:rsid w:val="001A4657"/>
    <w:rsid w:val="001A4AD4"/>
    <w:rsid w:val="001A653D"/>
    <w:rsid w:val="001B570D"/>
    <w:rsid w:val="001B6468"/>
    <w:rsid w:val="001C16EE"/>
    <w:rsid w:val="001C365A"/>
    <w:rsid w:val="001C79E4"/>
    <w:rsid w:val="001D5DE9"/>
    <w:rsid w:val="001D78B3"/>
    <w:rsid w:val="001E1203"/>
    <w:rsid w:val="001E55F7"/>
    <w:rsid w:val="001E79D6"/>
    <w:rsid w:val="001E7BC7"/>
    <w:rsid w:val="001F5365"/>
    <w:rsid w:val="001F6173"/>
    <w:rsid w:val="001F7A2A"/>
    <w:rsid w:val="00200F7F"/>
    <w:rsid w:val="00207739"/>
    <w:rsid w:val="002146A0"/>
    <w:rsid w:val="00224B8B"/>
    <w:rsid w:val="002306D9"/>
    <w:rsid w:val="0023235A"/>
    <w:rsid w:val="00237593"/>
    <w:rsid w:val="0024396A"/>
    <w:rsid w:val="00246CC0"/>
    <w:rsid w:val="0024784C"/>
    <w:rsid w:val="002506EB"/>
    <w:rsid w:val="00251584"/>
    <w:rsid w:val="00252AE9"/>
    <w:rsid w:val="00263D50"/>
    <w:rsid w:val="00264349"/>
    <w:rsid w:val="00274CF3"/>
    <w:rsid w:val="00283039"/>
    <w:rsid w:val="00284534"/>
    <w:rsid w:val="00290796"/>
    <w:rsid w:val="0029265D"/>
    <w:rsid w:val="00292F21"/>
    <w:rsid w:val="00293E19"/>
    <w:rsid w:val="00296AF4"/>
    <w:rsid w:val="00297CC7"/>
    <w:rsid w:val="002A13BA"/>
    <w:rsid w:val="002A397E"/>
    <w:rsid w:val="002A654C"/>
    <w:rsid w:val="002B19AB"/>
    <w:rsid w:val="002B6E47"/>
    <w:rsid w:val="002B7FDE"/>
    <w:rsid w:val="002C07A6"/>
    <w:rsid w:val="002C6BCF"/>
    <w:rsid w:val="002C7813"/>
    <w:rsid w:val="002E3E8C"/>
    <w:rsid w:val="002E63BF"/>
    <w:rsid w:val="002E672A"/>
    <w:rsid w:val="002F1FCA"/>
    <w:rsid w:val="002F22A3"/>
    <w:rsid w:val="002F2D67"/>
    <w:rsid w:val="002F7932"/>
    <w:rsid w:val="002F7DDF"/>
    <w:rsid w:val="00310EF2"/>
    <w:rsid w:val="00322C54"/>
    <w:rsid w:val="00323A1A"/>
    <w:rsid w:val="00325C73"/>
    <w:rsid w:val="0032738C"/>
    <w:rsid w:val="003309E4"/>
    <w:rsid w:val="003345EE"/>
    <w:rsid w:val="00335DF2"/>
    <w:rsid w:val="00337025"/>
    <w:rsid w:val="00341098"/>
    <w:rsid w:val="0034208C"/>
    <w:rsid w:val="00351BDF"/>
    <w:rsid w:val="00352C49"/>
    <w:rsid w:val="00354136"/>
    <w:rsid w:val="00354AB3"/>
    <w:rsid w:val="0035601E"/>
    <w:rsid w:val="0035617E"/>
    <w:rsid w:val="00373F00"/>
    <w:rsid w:val="00377285"/>
    <w:rsid w:val="003816C7"/>
    <w:rsid w:val="00381EFB"/>
    <w:rsid w:val="003926C0"/>
    <w:rsid w:val="00394874"/>
    <w:rsid w:val="003A0FE1"/>
    <w:rsid w:val="003A1B17"/>
    <w:rsid w:val="003A514B"/>
    <w:rsid w:val="003A58D0"/>
    <w:rsid w:val="003A78E8"/>
    <w:rsid w:val="003B2559"/>
    <w:rsid w:val="003B2F75"/>
    <w:rsid w:val="003C6D6D"/>
    <w:rsid w:val="003D0BF1"/>
    <w:rsid w:val="003D1147"/>
    <w:rsid w:val="003D7461"/>
    <w:rsid w:val="003E098B"/>
    <w:rsid w:val="003E2ECD"/>
    <w:rsid w:val="003F0461"/>
    <w:rsid w:val="003F0631"/>
    <w:rsid w:val="003F6106"/>
    <w:rsid w:val="003F6CB7"/>
    <w:rsid w:val="003F798E"/>
    <w:rsid w:val="00400129"/>
    <w:rsid w:val="00402497"/>
    <w:rsid w:val="004028D9"/>
    <w:rsid w:val="00402AE6"/>
    <w:rsid w:val="004030CF"/>
    <w:rsid w:val="00403E2A"/>
    <w:rsid w:val="00405B1D"/>
    <w:rsid w:val="00406B44"/>
    <w:rsid w:val="004077A3"/>
    <w:rsid w:val="00415ED8"/>
    <w:rsid w:val="00417FFD"/>
    <w:rsid w:val="00420ADF"/>
    <w:rsid w:val="00423D20"/>
    <w:rsid w:val="00426B6E"/>
    <w:rsid w:val="004310DB"/>
    <w:rsid w:val="004317E1"/>
    <w:rsid w:val="004336CA"/>
    <w:rsid w:val="00434880"/>
    <w:rsid w:val="00437590"/>
    <w:rsid w:val="00442FFF"/>
    <w:rsid w:val="00455BF2"/>
    <w:rsid w:val="00457CEA"/>
    <w:rsid w:val="0046425F"/>
    <w:rsid w:val="0047263C"/>
    <w:rsid w:val="004A3308"/>
    <w:rsid w:val="004A7C14"/>
    <w:rsid w:val="004B504D"/>
    <w:rsid w:val="004C0351"/>
    <w:rsid w:val="004D000D"/>
    <w:rsid w:val="004D2ABC"/>
    <w:rsid w:val="004F3C72"/>
    <w:rsid w:val="004F6005"/>
    <w:rsid w:val="004F789C"/>
    <w:rsid w:val="00500589"/>
    <w:rsid w:val="00502F8E"/>
    <w:rsid w:val="00504B0F"/>
    <w:rsid w:val="005075AF"/>
    <w:rsid w:val="00512135"/>
    <w:rsid w:val="00514B1A"/>
    <w:rsid w:val="00516A6C"/>
    <w:rsid w:val="0052543C"/>
    <w:rsid w:val="005259F8"/>
    <w:rsid w:val="00526327"/>
    <w:rsid w:val="005269E7"/>
    <w:rsid w:val="00532E01"/>
    <w:rsid w:val="00535F0F"/>
    <w:rsid w:val="00545283"/>
    <w:rsid w:val="00546F9D"/>
    <w:rsid w:val="005470A2"/>
    <w:rsid w:val="00550F53"/>
    <w:rsid w:val="005608CC"/>
    <w:rsid w:val="00562A71"/>
    <w:rsid w:val="00567946"/>
    <w:rsid w:val="00572E6D"/>
    <w:rsid w:val="00573316"/>
    <w:rsid w:val="00583313"/>
    <w:rsid w:val="00583505"/>
    <w:rsid w:val="00592009"/>
    <w:rsid w:val="00595A77"/>
    <w:rsid w:val="005A31C5"/>
    <w:rsid w:val="005A3F8F"/>
    <w:rsid w:val="005A4AD5"/>
    <w:rsid w:val="005A6FAC"/>
    <w:rsid w:val="005B0317"/>
    <w:rsid w:val="005B1B3A"/>
    <w:rsid w:val="005D6EBA"/>
    <w:rsid w:val="005E0975"/>
    <w:rsid w:val="005E0A2B"/>
    <w:rsid w:val="005E309C"/>
    <w:rsid w:val="005E3818"/>
    <w:rsid w:val="005F2074"/>
    <w:rsid w:val="005F2438"/>
    <w:rsid w:val="005F582A"/>
    <w:rsid w:val="00625475"/>
    <w:rsid w:val="00634134"/>
    <w:rsid w:val="00636E88"/>
    <w:rsid w:val="0064145D"/>
    <w:rsid w:val="00643341"/>
    <w:rsid w:val="00643793"/>
    <w:rsid w:val="0064591D"/>
    <w:rsid w:val="00645C32"/>
    <w:rsid w:val="00647F91"/>
    <w:rsid w:val="006512BB"/>
    <w:rsid w:val="00654535"/>
    <w:rsid w:val="00654752"/>
    <w:rsid w:val="00661C99"/>
    <w:rsid w:val="006621AA"/>
    <w:rsid w:val="00664E28"/>
    <w:rsid w:val="00680E22"/>
    <w:rsid w:val="0068452A"/>
    <w:rsid w:val="0068541E"/>
    <w:rsid w:val="006874E6"/>
    <w:rsid w:val="00691A85"/>
    <w:rsid w:val="00697A03"/>
    <w:rsid w:val="00697CC0"/>
    <w:rsid w:val="006B04C6"/>
    <w:rsid w:val="006B1852"/>
    <w:rsid w:val="006B2222"/>
    <w:rsid w:val="006B7EED"/>
    <w:rsid w:val="006B7F1E"/>
    <w:rsid w:val="006C45C2"/>
    <w:rsid w:val="006C4971"/>
    <w:rsid w:val="006D22E6"/>
    <w:rsid w:val="006D422B"/>
    <w:rsid w:val="006E5BD2"/>
    <w:rsid w:val="007013C3"/>
    <w:rsid w:val="00701442"/>
    <w:rsid w:val="00701CCF"/>
    <w:rsid w:val="00714FF8"/>
    <w:rsid w:val="007206ED"/>
    <w:rsid w:val="007206F0"/>
    <w:rsid w:val="00724344"/>
    <w:rsid w:val="00726CAD"/>
    <w:rsid w:val="00731EEE"/>
    <w:rsid w:val="00731F08"/>
    <w:rsid w:val="00734112"/>
    <w:rsid w:val="00745C25"/>
    <w:rsid w:val="0074757C"/>
    <w:rsid w:val="0075285A"/>
    <w:rsid w:val="00760302"/>
    <w:rsid w:val="00764E05"/>
    <w:rsid w:val="00765B20"/>
    <w:rsid w:val="0077182B"/>
    <w:rsid w:val="00774B02"/>
    <w:rsid w:val="00781552"/>
    <w:rsid w:val="007979F7"/>
    <w:rsid w:val="007A2BCA"/>
    <w:rsid w:val="007A3FF3"/>
    <w:rsid w:val="007A4112"/>
    <w:rsid w:val="007A5F12"/>
    <w:rsid w:val="007A6A46"/>
    <w:rsid w:val="007B0D0D"/>
    <w:rsid w:val="007B3A12"/>
    <w:rsid w:val="007B44E8"/>
    <w:rsid w:val="007C0D04"/>
    <w:rsid w:val="007C1FFC"/>
    <w:rsid w:val="007C26BE"/>
    <w:rsid w:val="007C2E9A"/>
    <w:rsid w:val="007C3BD8"/>
    <w:rsid w:val="007C5219"/>
    <w:rsid w:val="007D6A9C"/>
    <w:rsid w:val="007E091D"/>
    <w:rsid w:val="007E2D09"/>
    <w:rsid w:val="007E388A"/>
    <w:rsid w:val="007E5802"/>
    <w:rsid w:val="007F56AE"/>
    <w:rsid w:val="007F7C63"/>
    <w:rsid w:val="00802478"/>
    <w:rsid w:val="00802772"/>
    <w:rsid w:val="00802D5A"/>
    <w:rsid w:val="00806AFF"/>
    <w:rsid w:val="00812A9B"/>
    <w:rsid w:val="0082539C"/>
    <w:rsid w:val="0083126D"/>
    <w:rsid w:val="0084385C"/>
    <w:rsid w:val="0085400E"/>
    <w:rsid w:val="00855DFF"/>
    <w:rsid w:val="00873701"/>
    <w:rsid w:val="00876B67"/>
    <w:rsid w:val="00877CBA"/>
    <w:rsid w:val="00882F8D"/>
    <w:rsid w:val="008844DA"/>
    <w:rsid w:val="00885C71"/>
    <w:rsid w:val="00885F96"/>
    <w:rsid w:val="00893D76"/>
    <w:rsid w:val="00894706"/>
    <w:rsid w:val="00897B26"/>
    <w:rsid w:val="008B3114"/>
    <w:rsid w:val="008B54BE"/>
    <w:rsid w:val="008B7720"/>
    <w:rsid w:val="008C35D7"/>
    <w:rsid w:val="008C7FF9"/>
    <w:rsid w:val="008D13EC"/>
    <w:rsid w:val="008D323A"/>
    <w:rsid w:val="008E4717"/>
    <w:rsid w:val="008F2F65"/>
    <w:rsid w:val="008F509B"/>
    <w:rsid w:val="009032BF"/>
    <w:rsid w:val="00903A9C"/>
    <w:rsid w:val="00905196"/>
    <w:rsid w:val="00910A71"/>
    <w:rsid w:val="009120EF"/>
    <w:rsid w:val="00912B0B"/>
    <w:rsid w:val="00922811"/>
    <w:rsid w:val="00924244"/>
    <w:rsid w:val="00924BF8"/>
    <w:rsid w:val="00934EF9"/>
    <w:rsid w:val="00935F08"/>
    <w:rsid w:val="009400C3"/>
    <w:rsid w:val="00941676"/>
    <w:rsid w:val="009418F2"/>
    <w:rsid w:val="00962441"/>
    <w:rsid w:val="00963AFD"/>
    <w:rsid w:val="00972FE7"/>
    <w:rsid w:val="009750E3"/>
    <w:rsid w:val="0097706F"/>
    <w:rsid w:val="009801AE"/>
    <w:rsid w:val="009815D0"/>
    <w:rsid w:val="00982B45"/>
    <w:rsid w:val="00992769"/>
    <w:rsid w:val="009931AA"/>
    <w:rsid w:val="009965AF"/>
    <w:rsid w:val="009A1DAF"/>
    <w:rsid w:val="009A7CB4"/>
    <w:rsid w:val="009C4891"/>
    <w:rsid w:val="009C521B"/>
    <w:rsid w:val="009C5C4D"/>
    <w:rsid w:val="009C6CE4"/>
    <w:rsid w:val="009C752F"/>
    <w:rsid w:val="009D1241"/>
    <w:rsid w:val="009D78DC"/>
    <w:rsid w:val="009E4110"/>
    <w:rsid w:val="009E6F9D"/>
    <w:rsid w:val="009F1FB6"/>
    <w:rsid w:val="009F3C1A"/>
    <w:rsid w:val="009F528C"/>
    <w:rsid w:val="009F545C"/>
    <w:rsid w:val="00A05653"/>
    <w:rsid w:val="00A06BFA"/>
    <w:rsid w:val="00A110C9"/>
    <w:rsid w:val="00A12AD8"/>
    <w:rsid w:val="00A13172"/>
    <w:rsid w:val="00A13AE5"/>
    <w:rsid w:val="00A25614"/>
    <w:rsid w:val="00A26F02"/>
    <w:rsid w:val="00A27D34"/>
    <w:rsid w:val="00A4005F"/>
    <w:rsid w:val="00A401D1"/>
    <w:rsid w:val="00A4123F"/>
    <w:rsid w:val="00A41CDB"/>
    <w:rsid w:val="00A43CBA"/>
    <w:rsid w:val="00A446D6"/>
    <w:rsid w:val="00A44DB1"/>
    <w:rsid w:val="00A50148"/>
    <w:rsid w:val="00A57705"/>
    <w:rsid w:val="00A6398D"/>
    <w:rsid w:val="00A64FC4"/>
    <w:rsid w:val="00A84454"/>
    <w:rsid w:val="00A9341D"/>
    <w:rsid w:val="00A938C7"/>
    <w:rsid w:val="00A95F5A"/>
    <w:rsid w:val="00AB5B97"/>
    <w:rsid w:val="00AC0142"/>
    <w:rsid w:val="00AC0B39"/>
    <w:rsid w:val="00AC189F"/>
    <w:rsid w:val="00AC2785"/>
    <w:rsid w:val="00AC7D80"/>
    <w:rsid w:val="00AD0DD8"/>
    <w:rsid w:val="00AD5B22"/>
    <w:rsid w:val="00AD7C08"/>
    <w:rsid w:val="00AE0968"/>
    <w:rsid w:val="00AE11ED"/>
    <w:rsid w:val="00AF6170"/>
    <w:rsid w:val="00B002D6"/>
    <w:rsid w:val="00B0130C"/>
    <w:rsid w:val="00B03D84"/>
    <w:rsid w:val="00B11EAD"/>
    <w:rsid w:val="00B130FA"/>
    <w:rsid w:val="00B160BE"/>
    <w:rsid w:val="00B206AD"/>
    <w:rsid w:val="00B24C4C"/>
    <w:rsid w:val="00B32BB6"/>
    <w:rsid w:val="00B433D5"/>
    <w:rsid w:val="00B46586"/>
    <w:rsid w:val="00B54746"/>
    <w:rsid w:val="00B67EF9"/>
    <w:rsid w:val="00B71A2D"/>
    <w:rsid w:val="00B770CD"/>
    <w:rsid w:val="00B82765"/>
    <w:rsid w:val="00B83645"/>
    <w:rsid w:val="00B85047"/>
    <w:rsid w:val="00B85C0D"/>
    <w:rsid w:val="00B85E08"/>
    <w:rsid w:val="00B87035"/>
    <w:rsid w:val="00B930EC"/>
    <w:rsid w:val="00B94682"/>
    <w:rsid w:val="00B9656A"/>
    <w:rsid w:val="00B9670F"/>
    <w:rsid w:val="00BA0339"/>
    <w:rsid w:val="00BA6EF0"/>
    <w:rsid w:val="00BA7280"/>
    <w:rsid w:val="00BA768A"/>
    <w:rsid w:val="00BB423E"/>
    <w:rsid w:val="00BB4E33"/>
    <w:rsid w:val="00BC1F5E"/>
    <w:rsid w:val="00BE6349"/>
    <w:rsid w:val="00BE6BA5"/>
    <w:rsid w:val="00BF1E7F"/>
    <w:rsid w:val="00BF38B3"/>
    <w:rsid w:val="00BF4BA0"/>
    <w:rsid w:val="00BF64C9"/>
    <w:rsid w:val="00C005CD"/>
    <w:rsid w:val="00C01375"/>
    <w:rsid w:val="00C04B67"/>
    <w:rsid w:val="00C0766A"/>
    <w:rsid w:val="00C109E6"/>
    <w:rsid w:val="00C11623"/>
    <w:rsid w:val="00C13D1D"/>
    <w:rsid w:val="00C140E0"/>
    <w:rsid w:val="00C2035F"/>
    <w:rsid w:val="00C26CAC"/>
    <w:rsid w:val="00C32259"/>
    <w:rsid w:val="00C332A1"/>
    <w:rsid w:val="00C44492"/>
    <w:rsid w:val="00C526D0"/>
    <w:rsid w:val="00C5577D"/>
    <w:rsid w:val="00C657E2"/>
    <w:rsid w:val="00C74F3F"/>
    <w:rsid w:val="00C7595A"/>
    <w:rsid w:val="00C766BC"/>
    <w:rsid w:val="00C77D1B"/>
    <w:rsid w:val="00C80222"/>
    <w:rsid w:val="00C811BE"/>
    <w:rsid w:val="00C82642"/>
    <w:rsid w:val="00C93DA2"/>
    <w:rsid w:val="00C9430A"/>
    <w:rsid w:val="00CA2CDF"/>
    <w:rsid w:val="00CA5543"/>
    <w:rsid w:val="00CB4549"/>
    <w:rsid w:val="00CC147F"/>
    <w:rsid w:val="00CC168C"/>
    <w:rsid w:val="00CD1F13"/>
    <w:rsid w:val="00CE11F6"/>
    <w:rsid w:val="00CE455E"/>
    <w:rsid w:val="00CE535F"/>
    <w:rsid w:val="00CE734D"/>
    <w:rsid w:val="00CF1E77"/>
    <w:rsid w:val="00CF36B0"/>
    <w:rsid w:val="00CF57E8"/>
    <w:rsid w:val="00D0231B"/>
    <w:rsid w:val="00D12C2D"/>
    <w:rsid w:val="00D12DB9"/>
    <w:rsid w:val="00D22A87"/>
    <w:rsid w:val="00D263C3"/>
    <w:rsid w:val="00D30D83"/>
    <w:rsid w:val="00D31E1A"/>
    <w:rsid w:val="00D3523A"/>
    <w:rsid w:val="00D43890"/>
    <w:rsid w:val="00D4421D"/>
    <w:rsid w:val="00D44293"/>
    <w:rsid w:val="00D44669"/>
    <w:rsid w:val="00D46B9E"/>
    <w:rsid w:val="00D50541"/>
    <w:rsid w:val="00D56E71"/>
    <w:rsid w:val="00D57D6E"/>
    <w:rsid w:val="00D66E20"/>
    <w:rsid w:val="00D7153F"/>
    <w:rsid w:val="00D72522"/>
    <w:rsid w:val="00D74843"/>
    <w:rsid w:val="00D814D1"/>
    <w:rsid w:val="00D824C8"/>
    <w:rsid w:val="00D82795"/>
    <w:rsid w:val="00D856E1"/>
    <w:rsid w:val="00D86DD8"/>
    <w:rsid w:val="00D87781"/>
    <w:rsid w:val="00DA065D"/>
    <w:rsid w:val="00DA0831"/>
    <w:rsid w:val="00DA565C"/>
    <w:rsid w:val="00DA6C4E"/>
    <w:rsid w:val="00DA7D73"/>
    <w:rsid w:val="00DB1D44"/>
    <w:rsid w:val="00DC03E1"/>
    <w:rsid w:val="00DC0EEC"/>
    <w:rsid w:val="00DC420D"/>
    <w:rsid w:val="00DC4BFF"/>
    <w:rsid w:val="00DC6277"/>
    <w:rsid w:val="00DC717C"/>
    <w:rsid w:val="00DD36CF"/>
    <w:rsid w:val="00DD56EB"/>
    <w:rsid w:val="00DD7EBF"/>
    <w:rsid w:val="00DE01C3"/>
    <w:rsid w:val="00DE06AE"/>
    <w:rsid w:val="00DE070D"/>
    <w:rsid w:val="00DF03DA"/>
    <w:rsid w:val="00DF5226"/>
    <w:rsid w:val="00E00261"/>
    <w:rsid w:val="00E00E07"/>
    <w:rsid w:val="00E014CE"/>
    <w:rsid w:val="00E024C5"/>
    <w:rsid w:val="00E046F6"/>
    <w:rsid w:val="00E0544C"/>
    <w:rsid w:val="00E161C0"/>
    <w:rsid w:val="00E17F93"/>
    <w:rsid w:val="00E22DAF"/>
    <w:rsid w:val="00E23896"/>
    <w:rsid w:val="00E311C8"/>
    <w:rsid w:val="00E32E98"/>
    <w:rsid w:val="00E33CD5"/>
    <w:rsid w:val="00E438A7"/>
    <w:rsid w:val="00E46DC8"/>
    <w:rsid w:val="00E5061B"/>
    <w:rsid w:val="00E557EC"/>
    <w:rsid w:val="00E70CDD"/>
    <w:rsid w:val="00E7151B"/>
    <w:rsid w:val="00E73812"/>
    <w:rsid w:val="00E73A2A"/>
    <w:rsid w:val="00E75A33"/>
    <w:rsid w:val="00E77BB0"/>
    <w:rsid w:val="00E934DF"/>
    <w:rsid w:val="00E93D75"/>
    <w:rsid w:val="00E946B7"/>
    <w:rsid w:val="00E955FC"/>
    <w:rsid w:val="00E96C6E"/>
    <w:rsid w:val="00E97AC8"/>
    <w:rsid w:val="00EA2A15"/>
    <w:rsid w:val="00EA5FC7"/>
    <w:rsid w:val="00EA74F8"/>
    <w:rsid w:val="00EB7E25"/>
    <w:rsid w:val="00EC07B4"/>
    <w:rsid w:val="00EC7252"/>
    <w:rsid w:val="00EC728E"/>
    <w:rsid w:val="00EC75CF"/>
    <w:rsid w:val="00ED5B47"/>
    <w:rsid w:val="00EE0429"/>
    <w:rsid w:val="00EE7F38"/>
    <w:rsid w:val="00EF3FA7"/>
    <w:rsid w:val="00F00656"/>
    <w:rsid w:val="00F03311"/>
    <w:rsid w:val="00F0459B"/>
    <w:rsid w:val="00F079C6"/>
    <w:rsid w:val="00F22B9A"/>
    <w:rsid w:val="00F24FA6"/>
    <w:rsid w:val="00F26F50"/>
    <w:rsid w:val="00F323E4"/>
    <w:rsid w:val="00F3288A"/>
    <w:rsid w:val="00F370BA"/>
    <w:rsid w:val="00F37F22"/>
    <w:rsid w:val="00F528E0"/>
    <w:rsid w:val="00F5493B"/>
    <w:rsid w:val="00F6349A"/>
    <w:rsid w:val="00F639C9"/>
    <w:rsid w:val="00F73CB6"/>
    <w:rsid w:val="00F877BE"/>
    <w:rsid w:val="00F87BAE"/>
    <w:rsid w:val="00F90CB5"/>
    <w:rsid w:val="00F97D1B"/>
    <w:rsid w:val="00FA2E0B"/>
    <w:rsid w:val="00FA4474"/>
    <w:rsid w:val="00FA5A22"/>
    <w:rsid w:val="00FA602E"/>
    <w:rsid w:val="00FA7725"/>
    <w:rsid w:val="00FB433C"/>
    <w:rsid w:val="00FD5DC4"/>
    <w:rsid w:val="00FE498E"/>
    <w:rsid w:val="00FF2443"/>
    <w:rsid w:val="00FF473F"/>
    <w:rsid w:val="00FF4D6F"/>
    <w:rsid w:val="00FF59CC"/>
    <w:rsid w:val="00FF7730"/>
    <w:rsid w:val="32357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uiPriority="9" w:name="heading 4"/>
    <w:lsdException w:uiPriority="9" w:name="heading 5"/>
    <w:lsdException w:uiPriority="9" w:name="heading 6"/>
    <w:lsdException w:uiPriority="9" w:name="heading 7"/>
    <w:lsdException w:uiPriority="9" w:name="heading 8"/>
    <w:lsdException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uiPriority="99" w:name="annotation text"/>
    <w:lsdException w:uiPriority="99" w:semiHidden="0" w:name="header"/>
    <w:lsdException w:uiPriority="99" w:semiHidden="0" w:name="footer"/>
    <w:lsdException w:uiPriority="99" w:name="index heading"/>
    <w:lsdException w:uiPriority="35" w:semiHidden="0" w:name="caption"/>
    <w:lsdException w:uiPriority="99" w:name="table of figures"/>
    <w:lsdException w:uiPriority="99" w:name="envelope address"/>
    <w:lsdException w:uiPriority="99" w:name="envelope return"/>
    <w:lsdException w:qFormat="1"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ind w:firstLine="200" w:firstLineChars="200"/>
      <w:jc w:val="both"/>
    </w:pPr>
    <w:rPr>
      <w:rFonts w:ascii="Calibri" w:hAnsi="Calibri" w:eastAsia="仿宋" w:cs="Times New Roman"/>
      <w:sz w:val="32"/>
      <w:lang w:val="en-US" w:eastAsia="zh-CN" w:bidi="ar-SA"/>
    </w:rPr>
  </w:style>
  <w:style w:type="paragraph" w:styleId="2">
    <w:name w:val="heading 1"/>
    <w:basedOn w:val="1"/>
    <w:next w:val="1"/>
    <w:link w:val="28"/>
    <w:qFormat/>
    <w:uiPriority w:val="0"/>
    <w:pPr>
      <w:spacing w:line="600" w:lineRule="exact"/>
      <w:ind w:firstLine="640"/>
      <w:jc w:val="left"/>
      <w:outlineLvl w:val="0"/>
    </w:pPr>
    <w:rPr>
      <w:rFonts w:ascii="Times New Roman" w:hAnsi="Times New Roman" w:eastAsia="黑体"/>
      <w:kern w:val="2"/>
      <w:szCs w:val="32"/>
    </w:rPr>
  </w:style>
  <w:style w:type="paragraph" w:styleId="3">
    <w:name w:val="heading 2"/>
    <w:basedOn w:val="1"/>
    <w:next w:val="1"/>
    <w:link w:val="34"/>
    <w:qFormat/>
    <w:uiPriority w:val="0"/>
    <w:pPr>
      <w:adjustRightInd w:val="0"/>
      <w:spacing w:line="600" w:lineRule="exact"/>
      <w:ind w:firstLine="640"/>
      <w:outlineLvl w:val="1"/>
    </w:pPr>
    <w:rPr>
      <w:rFonts w:ascii="Times New Roman" w:hAnsi="Times New Roman" w:eastAsia="楷体_GB2312" w:cstheme="majorBidi"/>
      <w:kern w:val="2"/>
      <w:szCs w:val="32"/>
      <w:shd w:val="clear" w:color="auto" w:fill="FFFFFF"/>
    </w:rPr>
  </w:style>
  <w:style w:type="paragraph" w:styleId="4">
    <w:name w:val="heading 3"/>
    <w:basedOn w:val="1"/>
    <w:next w:val="1"/>
    <w:link w:val="51"/>
    <w:qFormat/>
    <w:uiPriority w:val="0"/>
    <w:pPr>
      <w:tabs>
        <w:tab w:val="left" w:pos="3405"/>
      </w:tabs>
      <w:spacing w:line="600" w:lineRule="exact"/>
      <w:ind w:firstLine="643"/>
      <w:outlineLvl w:val="2"/>
    </w:pPr>
    <w:rPr>
      <w:rFonts w:ascii="Times New Roman" w:hAnsi="Times New Roman" w:eastAsia="仿宋_GB2312"/>
      <w:b/>
      <w:kern w:val="2"/>
      <w:szCs w:val="32"/>
      <w:shd w:val="clear" w:color="auto" w:fill="FFFFFF"/>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caption"/>
    <w:basedOn w:val="1"/>
    <w:next w:val="1"/>
    <w:unhideWhenUsed/>
    <w:uiPriority w:val="35"/>
    <w:rPr>
      <w:rFonts w:eastAsia="黑体" w:asciiTheme="majorHAnsi" w:hAnsiTheme="majorHAnsi" w:cstheme="majorBidi"/>
      <w:sz w:val="20"/>
    </w:rPr>
  </w:style>
  <w:style w:type="paragraph" w:styleId="6">
    <w:name w:val="annotation text"/>
    <w:basedOn w:val="1"/>
    <w:link w:val="25"/>
    <w:semiHidden/>
    <w:unhideWhenUsed/>
    <w:uiPriority w:val="99"/>
    <w:pPr>
      <w:jc w:val="left"/>
    </w:pPr>
  </w:style>
  <w:style w:type="paragraph" w:styleId="7">
    <w:name w:val="toc 3"/>
    <w:basedOn w:val="1"/>
    <w:next w:val="1"/>
    <w:autoRedefine/>
    <w:unhideWhenUsed/>
    <w:uiPriority w:val="39"/>
    <w:pPr>
      <w:ind w:left="840" w:leftChars="400"/>
    </w:pPr>
  </w:style>
  <w:style w:type="paragraph" w:styleId="8">
    <w:name w:val="Balloon Text"/>
    <w:basedOn w:val="1"/>
    <w:link w:val="27"/>
    <w:semiHidden/>
    <w:unhideWhenUsed/>
    <w:uiPriority w:val="99"/>
    <w:rPr>
      <w:sz w:val="18"/>
      <w:szCs w:val="18"/>
    </w:rPr>
  </w:style>
  <w:style w:type="paragraph" w:styleId="9">
    <w:name w:val="footer"/>
    <w:basedOn w:val="1"/>
    <w:link w:val="22"/>
    <w:unhideWhenUsed/>
    <w:uiPriority w:val="99"/>
    <w:pPr>
      <w:tabs>
        <w:tab w:val="center" w:pos="4153"/>
        <w:tab w:val="right" w:pos="8306"/>
      </w:tabs>
      <w:snapToGrid w:val="0"/>
      <w:jc w:val="left"/>
    </w:pPr>
    <w:rPr>
      <w:sz w:val="18"/>
      <w:szCs w:val="18"/>
    </w:rPr>
  </w:style>
  <w:style w:type="paragraph" w:styleId="10">
    <w:name w:val="header"/>
    <w:basedOn w:val="1"/>
    <w:link w:val="21"/>
    <w:unhideWhenUsed/>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iPriority w:val="39"/>
    <w:pPr>
      <w:spacing w:before="120" w:after="120"/>
      <w:ind w:firstLine="0" w:firstLineChars="0"/>
      <w:jc w:val="left"/>
    </w:pPr>
    <w:rPr>
      <w:rFonts w:eastAsia="宋体"/>
      <w:b/>
      <w:bCs/>
      <w:caps/>
      <w:sz w:val="20"/>
    </w:rPr>
  </w:style>
  <w:style w:type="paragraph" w:styleId="12">
    <w:name w:val="footnote text"/>
    <w:basedOn w:val="1"/>
    <w:link w:val="24"/>
    <w:unhideWhenUsed/>
    <w:qFormat/>
    <w:uiPriority w:val="0"/>
    <w:pPr>
      <w:snapToGrid w:val="0"/>
      <w:jc w:val="left"/>
    </w:pPr>
    <w:rPr>
      <w:sz w:val="18"/>
      <w:szCs w:val="18"/>
    </w:rPr>
  </w:style>
  <w:style w:type="paragraph" w:styleId="13">
    <w:name w:val="toc 2"/>
    <w:basedOn w:val="1"/>
    <w:next w:val="1"/>
    <w:autoRedefine/>
    <w:unhideWhenUsed/>
    <w:uiPriority w:val="39"/>
    <w:pPr>
      <w:ind w:left="420" w:leftChars="200"/>
    </w:pPr>
  </w:style>
  <w:style w:type="paragraph" w:styleId="14">
    <w:name w:val="annotation subject"/>
    <w:basedOn w:val="6"/>
    <w:next w:val="6"/>
    <w:link w:val="26"/>
    <w:semiHidden/>
    <w:unhideWhenUsed/>
    <w:uiPriority w:val="99"/>
    <w:rPr>
      <w:b/>
      <w:bCs/>
    </w:rPr>
  </w:style>
  <w:style w:type="table" w:styleId="16">
    <w:name w:val="Table Grid"/>
    <w:basedOn w:val="1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uiPriority w:val="99"/>
    <w:rPr>
      <w:color w:val="0563C1" w:themeColor="hyperlink"/>
      <w:u w:val="single"/>
      <w14:textFill>
        <w14:solidFill>
          <w14:schemeClr w14:val="hlink"/>
        </w14:solidFill>
      </w14:textFill>
    </w:rPr>
  </w:style>
  <w:style w:type="character" w:styleId="19">
    <w:name w:val="annotation reference"/>
    <w:basedOn w:val="17"/>
    <w:semiHidden/>
    <w:unhideWhenUsed/>
    <w:uiPriority w:val="99"/>
    <w:rPr>
      <w:sz w:val="21"/>
      <w:szCs w:val="21"/>
    </w:rPr>
  </w:style>
  <w:style w:type="character" w:styleId="20">
    <w:name w:val="footnote reference"/>
    <w:basedOn w:val="17"/>
    <w:unhideWhenUsed/>
    <w:qFormat/>
    <w:uiPriority w:val="0"/>
    <w:rPr>
      <w:vertAlign w:val="superscript"/>
    </w:rPr>
  </w:style>
  <w:style w:type="character" w:customStyle="1" w:styleId="21">
    <w:name w:val="页眉 字符"/>
    <w:basedOn w:val="17"/>
    <w:link w:val="10"/>
    <w:uiPriority w:val="99"/>
    <w:rPr>
      <w:sz w:val="18"/>
      <w:szCs w:val="18"/>
    </w:rPr>
  </w:style>
  <w:style w:type="character" w:customStyle="1" w:styleId="22">
    <w:name w:val="页脚 字符"/>
    <w:basedOn w:val="17"/>
    <w:link w:val="9"/>
    <w:uiPriority w:val="99"/>
    <w:rPr>
      <w:sz w:val="18"/>
      <w:szCs w:val="18"/>
    </w:rPr>
  </w:style>
  <w:style w:type="paragraph" w:styleId="23">
    <w:name w:val="List Paragraph"/>
    <w:basedOn w:val="1"/>
    <w:uiPriority w:val="34"/>
    <w:pPr>
      <w:ind w:firstLine="420"/>
    </w:pPr>
  </w:style>
  <w:style w:type="character" w:customStyle="1" w:styleId="24">
    <w:name w:val="脚注文本 字符"/>
    <w:basedOn w:val="17"/>
    <w:link w:val="12"/>
    <w:uiPriority w:val="0"/>
    <w:rPr>
      <w:sz w:val="18"/>
      <w:szCs w:val="18"/>
    </w:rPr>
  </w:style>
  <w:style w:type="character" w:customStyle="1" w:styleId="25">
    <w:name w:val="批注文字 字符"/>
    <w:basedOn w:val="17"/>
    <w:link w:val="6"/>
    <w:semiHidden/>
    <w:uiPriority w:val="99"/>
  </w:style>
  <w:style w:type="character" w:customStyle="1" w:styleId="26">
    <w:name w:val="批注主题 字符"/>
    <w:basedOn w:val="25"/>
    <w:link w:val="14"/>
    <w:semiHidden/>
    <w:uiPriority w:val="99"/>
    <w:rPr>
      <w:b/>
      <w:bCs/>
    </w:rPr>
  </w:style>
  <w:style w:type="character" w:customStyle="1" w:styleId="27">
    <w:name w:val="批注框文本 字符"/>
    <w:basedOn w:val="17"/>
    <w:link w:val="8"/>
    <w:semiHidden/>
    <w:uiPriority w:val="99"/>
    <w:rPr>
      <w:sz w:val="18"/>
      <w:szCs w:val="18"/>
    </w:rPr>
  </w:style>
  <w:style w:type="character" w:customStyle="1" w:styleId="28">
    <w:name w:val="标题 1 字符"/>
    <w:link w:val="2"/>
    <w:uiPriority w:val="0"/>
    <w:rPr>
      <w:rFonts w:ascii="Times New Roman" w:hAnsi="Times New Roman" w:eastAsia="黑体"/>
      <w:kern w:val="2"/>
      <w:sz w:val="32"/>
      <w:szCs w:val="32"/>
    </w:rPr>
  </w:style>
  <w:style w:type="character" w:customStyle="1" w:styleId="29">
    <w:name w:val="工经所4 Char"/>
    <w:link w:val="30"/>
    <w:uiPriority w:val="0"/>
    <w:rPr>
      <w:rFonts w:ascii="Times New Roman" w:hAnsi="Times New Roman" w:eastAsia="仿宋_GB2312"/>
      <w:b/>
      <w:sz w:val="32"/>
      <w:szCs w:val="32"/>
    </w:rPr>
  </w:style>
  <w:style w:type="paragraph" w:customStyle="1" w:styleId="30">
    <w:name w:val="工经所4"/>
    <w:basedOn w:val="1"/>
    <w:link w:val="29"/>
    <w:uiPriority w:val="0"/>
    <w:pPr>
      <w:autoSpaceDE w:val="0"/>
      <w:autoSpaceDN w:val="0"/>
      <w:adjustRightInd w:val="0"/>
      <w:spacing w:line="560" w:lineRule="exact"/>
      <w:ind w:firstLine="643"/>
      <w:outlineLvl w:val="3"/>
    </w:pPr>
    <w:rPr>
      <w:rFonts w:ascii="Times New Roman" w:hAnsi="Times New Roman" w:eastAsia="仿宋_GB2312"/>
      <w:b/>
      <w:szCs w:val="32"/>
    </w:rPr>
  </w:style>
  <w:style w:type="character" w:customStyle="1" w:styleId="31">
    <w:name w:val="工经所正文 Char"/>
    <w:link w:val="32"/>
    <w:uiPriority w:val="0"/>
    <w:rPr>
      <w:rFonts w:eastAsia="仿宋_GB2312"/>
      <w:sz w:val="32"/>
      <w:szCs w:val="32"/>
    </w:rPr>
  </w:style>
  <w:style w:type="paragraph" w:customStyle="1" w:styleId="32">
    <w:name w:val="工经所正文"/>
    <w:basedOn w:val="1"/>
    <w:link w:val="31"/>
    <w:uiPriority w:val="0"/>
    <w:pPr>
      <w:spacing w:line="600" w:lineRule="exact"/>
      <w:ind w:firstLine="640"/>
    </w:pPr>
    <w:rPr>
      <w:rFonts w:eastAsia="仿宋_GB2312"/>
      <w:szCs w:val="32"/>
    </w:rPr>
  </w:style>
  <w:style w:type="paragraph" w:customStyle="1" w:styleId="33">
    <w:name w:val="1"/>
    <w:basedOn w:val="1"/>
    <w:uiPriority w:val="0"/>
    <w:pPr>
      <w:ind w:firstLine="0" w:firstLineChars="0"/>
    </w:pPr>
    <w:rPr>
      <w:rFonts w:ascii="Times New Roman" w:hAnsi="Times New Roman" w:eastAsia="宋体"/>
      <w:sz w:val="21"/>
      <w:szCs w:val="24"/>
    </w:rPr>
  </w:style>
  <w:style w:type="character" w:customStyle="1" w:styleId="34">
    <w:name w:val="标题 2 字符"/>
    <w:link w:val="3"/>
    <w:uiPriority w:val="0"/>
    <w:rPr>
      <w:rFonts w:ascii="Times New Roman" w:hAnsi="Times New Roman" w:eastAsia="楷体_GB2312" w:cstheme="majorBidi"/>
      <w:kern w:val="2"/>
      <w:sz w:val="32"/>
      <w:szCs w:val="32"/>
    </w:rPr>
  </w:style>
  <w:style w:type="paragraph" w:customStyle="1" w:styleId="35">
    <w:name w:val="工信院正文"/>
    <w:basedOn w:val="32"/>
    <w:link w:val="36"/>
    <w:qFormat/>
    <w:uiPriority w:val="0"/>
    <w:pPr>
      <w:ind w:firstLine="643"/>
    </w:pPr>
    <w:rPr>
      <w:rFonts w:ascii="Times New Roman" w:hAnsi="Times New Roman"/>
      <w:kern w:val="2"/>
    </w:rPr>
  </w:style>
  <w:style w:type="character" w:customStyle="1" w:styleId="36">
    <w:name w:val="工信院正文 字符"/>
    <w:link w:val="35"/>
    <w:uiPriority w:val="0"/>
    <w:rPr>
      <w:rFonts w:ascii="Times New Roman" w:hAnsi="Times New Roman" w:eastAsia="仿宋_GB2312"/>
      <w:kern w:val="2"/>
      <w:sz w:val="32"/>
      <w:szCs w:val="32"/>
    </w:rPr>
  </w:style>
  <w:style w:type="paragraph" w:customStyle="1" w:styleId="37">
    <w:name w:val="院目录标题"/>
    <w:basedOn w:val="1"/>
    <w:link w:val="38"/>
    <w:qFormat/>
    <w:uiPriority w:val="0"/>
    <w:pPr>
      <w:snapToGrid w:val="0"/>
      <w:spacing w:before="156" w:beforeLines="50"/>
      <w:ind w:firstLine="0" w:firstLineChars="0"/>
      <w:jc w:val="center"/>
    </w:pPr>
    <w:rPr>
      <w:rFonts w:ascii="Times New Roman" w:hAnsi="Times New Roman" w:eastAsia="黑体"/>
      <w:kern w:val="2"/>
      <w:sz w:val="44"/>
      <w:szCs w:val="36"/>
    </w:rPr>
  </w:style>
  <w:style w:type="character" w:customStyle="1" w:styleId="38">
    <w:name w:val="院目录标题 字符"/>
    <w:link w:val="37"/>
    <w:uiPriority w:val="0"/>
    <w:rPr>
      <w:rFonts w:ascii="Times New Roman" w:hAnsi="Times New Roman" w:eastAsia="黑体"/>
      <w:kern w:val="2"/>
      <w:sz w:val="44"/>
      <w:szCs w:val="36"/>
    </w:rPr>
  </w:style>
  <w:style w:type="paragraph" w:customStyle="1" w:styleId="39">
    <w:name w:val="院目录正文"/>
    <w:basedOn w:val="11"/>
    <w:link w:val="40"/>
    <w:qFormat/>
    <w:uiPriority w:val="0"/>
    <w:pPr>
      <w:widowControl/>
      <w:tabs>
        <w:tab w:val="right" w:leader="dot" w:pos="8834"/>
      </w:tabs>
      <w:spacing w:before="0" w:after="0" w:line="480" w:lineRule="auto"/>
    </w:pPr>
    <w:rPr>
      <w:rFonts w:ascii="Times New Roman" w:hAnsi="Times New Roman" w:eastAsia="楷体_GB2312"/>
      <w:kern w:val="2"/>
      <w:sz w:val="32"/>
      <w:szCs w:val="32"/>
    </w:rPr>
  </w:style>
  <w:style w:type="character" w:customStyle="1" w:styleId="40">
    <w:name w:val="院目录正文 字符"/>
    <w:link w:val="39"/>
    <w:uiPriority w:val="0"/>
    <w:rPr>
      <w:rFonts w:ascii="Times New Roman" w:hAnsi="Times New Roman" w:eastAsia="楷体_GB2312"/>
      <w:b/>
      <w:bCs/>
      <w:caps/>
      <w:kern w:val="2"/>
      <w:sz w:val="32"/>
      <w:szCs w:val="32"/>
    </w:rPr>
  </w:style>
  <w:style w:type="paragraph" w:customStyle="1" w:styleId="41">
    <w:name w:val="图表标题"/>
    <w:basedOn w:val="1"/>
    <w:link w:val="42"/>
    <w:qFormat/>
    <w:uiPriority w:val="0"/>
    <w:pPr>
      <w:pBdr>
        <w:top w:val="none" w:color="000000" w:sz="0" w:space="0"/>
        <w:left w:val="none" w:color="000000" w:sz="0" w:space="0"/>
        <w:bottom w:val="none" w:color="000000" w:sz="0" w:space="0"/>
        <w:right w:val="none" w:color="000000" w:sz="0" w:space="1"/>
      </w:pBdr>
      <w:shd w:val="solid" w:color="FFFFFF" w:fill="auto"/>
      <w:autoSpaceDN w:val="0"/>
      <w:spacing w:line="360" w:lineRule="auto"/>
      <w:ind w:firstLine="0" w:firstLineChars="0"/>
      <w:jc w:val="center"/>
    </w:pPr>
    <w:rPr>
      <w:rFonts w:ascii="Times New Roman" w:hAnsi="Times New Roman" w:eastAsia="黑体"/>
      <w:kern w:val="2"/>
      <w:sz w:val="24"/>
      <w:szCs w:val="22"/>
      <w:shd w:val="clear" w:color="auto" w:fill="FFFFFF"/>
    </w:rPr>
  </w:style>
  <w:style w:type="character" w:customStyle="1" w:styleId="42">
    <w:name w:val="图表标题 字符"/>
    <w:basedOn w:val="17"/>
    <w:link w:val="41"/>
    <w:uiPriority w:val="0"/>
    <w:rPr>
      <w:rFonts w:ascii="Times New Roman" w:hAnsi="Times New Roman" w:eastAsia="黑体"/>
      <w:kern w:val="2"/>
      <w:sz w:val="24"/>
      <w:szCs w:val="22"/>
      <w:shd w:val="solid" w:color="FFFFFF" w:fill="auto"/>
    </w:rPr>
  </w:style>
  <w:style w:type="paragraph" w:customStyle="1" w:styleId="43">
    <w:name w:val="院表正文"/>
    <w:basedOn w:val="1"/>
    <w:link w:val="44"/>
    <w:qFormat/>
    <w:uiPriority w:val="0"/>
    <w:pPr>
      <w:ind w:firstLine="0" w:firstLineChars="0"/>
    </w:pPr>
    <w:rPr>
      <w:rFonts w:ascii="Times New Roman" w:hAnsi="Times New Roman" w:eastAsia="宋体"/>
      <w:kern w:val="2"/>
      <w:sz w:val="24"/>
      <w:szCs w:val="24"/>
    </w:rPr>
  </w:style>
  <w:style w:type="character" w:customStyle="1" w:styleId="44">
    <w:name w:val="院表正文 字符"/>
    <w:basedOn w:val="17"/>
    <w:link w:val="43"/>
    <w:uiPriority w:val="0"/>
    <w:rPr>
      <w:rFonts w:ascii="Times New Roman" w:hAnsi="Times New Roman"/>
      <w:kern w:val="2"/>
      <w:sz w:val="24"/>
      <w:szCs w:val="24"/>
    </w:rPr>
  </w:style>
  <w:style w:type="paragraph" w:customStyle="1" w:styleId="45">
    <w:name w:val="工信院4"/>
    <w:basedOn w:val="35"/>
    <w:link w:val="46"/>
    <w:qFormat/>
    <w:uiPriority w:val="0"/>
    <w:pPr>
      <w:ind w:firstLine="640"/>
      <w:outlineLvl w:val="3"/>
    </w:pPr>
  </w:style>
  <w:style w:type="character" w:customStyle="1" w:styleId="46">
    <w:name w:val="工信院4 字符"/>
    <w:basedOn w:val="36"/>
    <w:link w:val="45"/>
    <w:uiPriority w:val="0"/>
    <w:rPr>
      <w:rFonts w:ascii="Times New Roman" w:hAnsi="Times New Roman" w:eastAsia="仿宋_GB2312"/>
      <w:kern w:val="2"/>
      <w:sz w:val="32"/>
      <w:szCs w:val="32"/>
    </w:rPr>
  </w:style>
  <w:style w:type="paragraph" w:customStyle="1" w:styleId="47">
    <w:name w:val="院附件标题"/>
    <w:basedOn w:val="35"/>
    <w:link w:val="48"/>
    <w:qFormat/>
    <w:uiPriority w:val="0"/>
    <w:pPr>
      <w:ind w:firstLine="602"/>
      <w:outlineLvl w:val="0"/>
    </w:pPr>
    <w:rPr>
      <w:b/>
      <w:sz w:val="30"/>
      <w:szCs w:val="30"/>
    </w:rPr>
  </w:style>
  <w:style w:type="character" w:customStyle="1" w:styleId="48">
    <w:name w:val="院附件标题 字符"/>
    <w:basedOn w:val="36"/>
    <w:link w:val="47"/>
    <w:uiPriority w:val="0"/>
    <w:rPr>
      <w:rFonts w:ascii="Times New Roman" w:hAnsi="Times New Roman" w:eastAsia="仿宋_GB2312"/>
      <w:b/>
      <w:kern w:val="2"/>
      <w:sz w:val="30"/>
      <w:szCs w:val="30"/>
    </w:rPr>
  </w:style>
  <w:style w:type="paragraph" w:customStyle="1" w:styleId="49">
    <w:name w:val="院附件正文"/>
    <w:basedOn w:val="35"/>
    <w:link w:val="50"/>
    <w:qFormat/>
    <w:uiPriority w:val="0"/>
    <w:pPr>
      <w:ind w:firstLine="600"/>
    </w:pPr>
    <w:rPr>
      <w:sz w:val="30"/>
      <w:szCs w:val="30"/>
    </w:rPr>
  </w:style>
  <w:style w:type="character" w:customStyle="1" w:styleId="50">
    <w:name w:val="院附件正文 字符"/>
    <w:basedOn w:val="36"/>
    <w:link w:val="49"/>
    <w:uiPriority w:val="0"/>
    <w:rPr>
      <w:rFonts w:ascii="Times New Roman" w:hAnsi="Times New Roman" w:eastAsia="仿宋_GB2312"/>
      <w:kern w:val="2"/>
      <w:sz w:val="30"/>
      <w:szCs w:val="30"/>
    </w:rPr>
  </w:style>
  <w:style w:type="character" w:customStyle="1" w:styleId="51">
    <w:name w:val="标题 3 字符"/>
    <w:link w:val="4"/>
    <w:uiPriority w:val="0"/>
    <w:rPr>
      <w:rFonts w:ascii="Times New Roman" w:hAnsi="Times New Roman" w:eastAsia="仿宋_GB2312"/>
      <w:b/>
      <w:kern w:val="2"/>
      <w:sz w:val="32"/>
      <w:szCs w:val="32"/>
    </w:rPr>
  </w:style>
  <w:style w:type="paragraph" w:customStyle="1" w:styleId="52">
    <w:name w:val="TOC Heading"/>
    <w:basedOn w:val="1"/>
    <w:next w:val="1"/>
    <w:qFormat/>
    <w:uiPriority w:val="0"/>
    <w:pPr>
      <w:spacing w:before="156" w:beforeLines="50" w:after="156" w:afterLines="50" w:line="480" w:lineRule="auto"/>
      <w:ind w:firstLine="0" w:firstLineChars="0"/>
      <w:jc w:val="center"/>
    </w:pPr>
    <w:rPr>
      <w:rFonts w:ascii="Times New Roman" w:hAnsi="Times New Roman" w:eastAsia="方正小标宋简体"/>
      <w:sz w:val="52"/>
      <w:szCs w:val="5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2.jpe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数字引用" Version="1987"/>
</file>

<file path=customXml/itemProps1.xml><?xml version="1.0" encoding="utf-8"?>
<ds:datastoreItem xmlns:ds="http://schemas.openxmlformats.org/officeDocument/2006/customXml" ds:itemID="{397A0743-1A14-430C-A9EC-EAEC764F5F4E}">
  <ds:schemaRefs/>
</ds:datastoreItem>
</file>

<file path=docProps/app.xml><?xml version="1.0" encoding="utf-8"?>
<Properties xmlns="http://schemas.openxmlformats.org/officeDocument/2006/extended-properties" xmlns:vt="http://schemas.openxmlformats.org/officeDocument/2006/docPropsVTypes">
  <Template>Normal.dotm</Template>
  <Pages>49</Pages>
  <Words>21411</Words>
  <Characters>22304</Characters>
  <Lines>176</Lines>
  <Paragraphs>49</Paragraphs>
  <TotalTime>582</TotalTime>
  <ScaleCrop>false</ScaleCrop>
  <LinksUpToDate>false</LinksUpToDate>
  <CharactersWithSpaces>22381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2017-01-03T08:26:00Z</dcterms:created>
  <dc:creator>Junfeng Wang</dc:creator>
  <cp:lastModifiedBy>ผลึกแก้ว</cp:lastModifiedBy>
  <cp:lastPrinted>2017-02-27T03:01:00Z</cp:lastPrinted>
  <dcterms:modified xsi:type="dcterms:W3CDTF">2024-08-08T02:36:51Z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817A8840CFC24B0D942845F15D225D66_13</vt:lpwstr>
  </property>
</Properties>
</file>