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line="580" w:lineRule="exact"/>
        <w:textAlignment w:val="auto"/>
        <w:rPr>
          <w:rFonts w:hint="eastAsia"/>
          <w:sz w:val="32"/>
          <w:szCs w:val="32"/>
          <w:lang w:val="en-US" w:eastAsia="zh-CN"/>
        </w:rPr>
      </w:pPr>
    </w:p>
    <w:p>
      <w:pPr>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pStyle w:val="2"/>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pStyle w:val="3"/>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pStyle w:val="2"/>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pStyle w:val="3"/>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keepNext w:val="0"/>
        <w:keepLines w:val="0"/>
        <w:pageBreakBefore w:val="0"/>
        <w:kinsoku/>
        <w:wordWrap/>
        <w:overflowPunct/>
        <w:topLinePunct w:val="0"/>
        <w:autoSpaceDE/>
        <w:autoSpaceDN/>
        <w:bidi w:val="0"/>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000000"/>
          <w:sz w:val="32"/>
          <w:szCs w:val="32"/>
          <w:lang w:val="en-US" w:eastAsia="zh-CN"/>
        </w:rPr>
      </w:pP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309"/>
        </w:tabs>
        <w:bidi w:val="0"/>
        <w:jc w:val="left"/>
        <w:rPr>
          <w:rFonts w:hint="eastAsia"/>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方正小标宋简体"/>
          <w:color w:val="000000"/>
          <w:sz w:val="44"/>
          <w:szCs w:val="44"/>
          <w:lang w:val="en-US" w:eastAsia="zh-CN"/>
        </w:rPr>
      </w:pPr>
      <w:r>
        <w:rPr>
          <w:rFonts w:hint="eastAsia" w:ascii="Times New Roman" w:hAnsi="Times New Roman" w:eastAsia="方正小标宋简体" w:cs="方正小标宋简体"/>
          <w:color w:val="000000"/>
          <w:sz w:val="44"/>
          <w:szCs w:val="44"/>
          <w:lang w:val="en-US" w:eastAsia="zh-CN"/>
        </w:rPr>
        <w:t>重点制修订和实施国家标准清单</w:t>
      </w:r>
    </w:p>
    <w:tbl>
      <w:tblPr>
        <w:tblStyle w:val="8"/>
        <w:tblW w:w="14085" w:type="dxa"/>
        <w:tblInd w:w="-316" w:type="dxa"/>
        <w:tblLayout w:type="fixed"/>
        <w:tblCellMar>
          <w:top w:w="0" w:type="dxa"/>
          <w:left w:w="0" w:type="dxa"/>
          <w:bottom w:w="0" w:type="dxa"/>
          <w:right w:w="0" w:type="dxa"/>
        </w:tblCellMar>
      </w:tblPr>
      <w:tblGrid>
        <w:gridCol w:w="660"/>
        <w:gridCol w:w="5085"/>
        <w:gridCol w:w="1065"/>
        <w:gridCol w:w="1110"/>
        <w:gridCol w:w="2955"/>
        <w:gridCol w:w="1320"/>
        <w:gridCol w:w="1890"/>
      </w:tblGrid>
      <w:tr>
        <w:tblPrEx>
          <w:tblCellMar>
            <w:top w:w="0" w:type="dxa"/>
            <w:left w:w="0" w:type="dxa"/>
            <w:bottom w:w="0" w:type="dxa"/>
            <w:right w:w="0" w:type="dxa"/>
          </w:tblCellMar>
        </w:tblPrEx>
        <w:trPr>
          <w:trHeight w:val="567" w:hRule="atLeast"/>
          <w:tblHeader/>
        </w:trPr>
        <w:tc>
          <w:tcPr>
            <w:tcW w:w="66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0"/>
                <w:sz w:val="24"/>
                <w:lang w:bidi="ar"/>
              </w:rPr>
              <w:t>序号</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0"/>
                <w:sz w:val="24"/>
                <w:lang w:bidi="ar"/>
              </w:rPr>
              <w:t>标准项目名称</w:t>
            </w:r>
          </w:p>
        </w:tc>
        <w:tc>
          <w:tcPr>
            <w:tcW w:w="106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黑体" w:hAnsi="黑体" w:eastAsia="黑体" w:cs="黑体"/>
                <w:b w:val="0"/>
                <w:bCs w:val="0"/>
                <w:color w:val="000000"/>
                <w:kern w:val="0"/>
                <w:sz w:val="24"/>
                <w:lang w:bidi="ar"/>
              </w:rPr>
            </w:pPr>
            <w:r>
              <w:rPr>
                <w:rFonts w:hint="eastAsia" w:ascii="黑体" w:hAnsi="黑体" w:eastAsia="黑体" w:cs="黑体"/>
                <w:b w:val="0"/>
                <w:bCs w:val="0"/>
                <w:color w:val="000000"/>
                <w:kern w:val="0"/>
                <w:sz w:val="24"/>
                <w:lang w:bidi="ar"/>
              </w:rPr>
              <w:t>制定/</w:t>
            </w:r>
          </w:p>
          <w:p>
            <w:pPr>
              <w:widowControl/>
              <w:jc w:val="center"/>
              <w:textAlignment w:val="center"/>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0"/>
                <w:sz w:val="24"/>
                <w:lang w:val="en-US" w:eastAsia="zh-CN" w:bidi="ar"/>
              </w:rPr>
              <w:t>标准性质</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0"/>
                <w:sz w:val="24"/>
                <w:lang w:bidi="ar"/>
              </w:rPr>
              <w:t>主管部门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黑体" w:hAnsi="黑体" w:eastAsia="黑体" w:cs="黑体"/>
                <w:b w:val="0"/>
                <w:bCs w:val="0"/>
                <w:color w:val="000000"/>
                <w:kern w:val="0"/>
                <w:sz w:val="24"/>
                <w:lang w:val="en-US" w:eastAsia="zh-CN" w:bidi="ar"/>
              </w:rPr>
            </w:pPr>
            <w:r>
              <w:rPr>
                <w:rFonts w:hint="eastAsia" w:ascii="黑体" w:hAnsi="黑体" w:eastAsia="黑体" w:cs="黑体"/>
                <w:b w:val="0"/>
                <w:bCs w:val="0"/>
                <w:color w:val="000000"/>
                <w:kern w:val="0"/>
                <w:sz w:val="24"/>
                <w:lang w:val="en-US" w:eastAsia="zh-CN" w:bidi="ar"/>
              </w:rPr>
              <w:t>拟制修订</w:t>
            </w:r>
          </w:p>
          <w:p>
            <w:pPr>
              <w:widowControl/>
              <w:jc w:val="center"/>
              <w:textAlignment w:val="center"/>
              <w:rPr>
                <w:rFonts w:hint="eastAsia" w:ascii="黑体" w:hAnsi="黑体" w:eastAsia="黑体" w:cs="黑体"/>
                <w:b w:val="0"/>
                <w:bCs w:val="0"/>
                <w:color w:val="000000"/>
                <w:kern w:val="0"/>
                <w:sz w:val="24"/>
                <w:lang w:val="en-US" w:eastAsia="zh-CN" w:bidi="ar"/>
              </w:rPr>
            </w:pPr>
            <w:r>
              <w:rPr>
                <w:rFonts w:hint="eastAsia" w:ascii="黑体" w:hAnsi="黑体" w:eastAsia="黑体" w:cs="黑体"/>
                <w:b w:val="0"/>
                <w:bCs w:val="0"/>
                <w:color w:val="000000"/>
                <w:kern w:val="0"/>
                <w:sz w:val="24"/>
                <w:lang w:val="en-US" w:eastAsia="zh-CN" w:bidi="ar"/>
              </w:rPr>
              <w:t>年份</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黑体" w:hAnsi="黑体" w:eastAsia="黑体" w:cs="黑体"/>
                <w:b w:val="0"/>
                <w:bCs w:val="0"/>
                <w:color w:val="000000"/>
                <w:kern w:val="2"/>
                <w:sz w:val="24"/>
                <w:szCs w:val="24"/>
                <w:lang w:val="en-US" w:eastAsia="zh-CN" w:bidi="ar-SA"/>
              </w:rPr>
            </w:pPr>
            <w:r>
              <w:rPr>
                <w:rFonts w:hint="eastAsia" w:ascii="黑体" w:hAnsi="黑体" w:eastAsia="黑体" w:cs="黑体"/>
                <w:b w:val="0"/>
                <w:bCs w:val="0"/>
                <w:color w:val="000000"/>
                <w:kern w:val="0"/>
                <w:sz w:val="24"/>
                <w:lang w:bidi="ar"/>
              </w:rPr>
              <w:t>所属领域</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节能技术评价导则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火力发电企业能源计量器具配备和管理要求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建筑材料行业能源计量器具配备和管理要求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电力变压器能效限定值及能效等级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农药工业水污染物排放标准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铀矿冶放射性废物辐射环境管理技术规定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炼焦化学工业污染物排放标准(大气部分)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生活垃圾填埋场污染控制标准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低中水平放射性固体废物的岩洞处置规定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煤层气(煤矿瓦斯)排放标准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碳排放核算与报告要求铜冶炼企业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碳排放核算与报告要求水泥制品生产企业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碳排放核算与报告要求烧结墙体材料生产企业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碳排放核算与报告要求炭素材料生产企业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中国钢铁工业协会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碳排放核算与报告要求工业硅生产企业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碳排放核算与报告要求废弃电池处理处置企业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碳排放核算与报告要求化纤生产企业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碳排放核算与报告要求家具生产企业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碳排放核算与报告要求涂料生产企业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碳排放核算与报告要求磷酸及磷酸盐企业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碳排放核算与报告要求绝热材料生产企业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碳排放核算与报告要求锌冶炼企业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产品碳足迹量化要求和指南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畜产品碳足迹核算和报告指南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农业农村部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电解水制氢用电极性能测试与评价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大型空分装置用透平压缩机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天然气输送装置用透平压缩机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乙烯装置用透平压缩机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29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生物质成型燃料锅炉</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生物质锅炉质量性能评价技术准则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电动土方机械用动力电池第1部分：安全要求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电动土方机械用动力电池第2部分：电性能要求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土方机械纯电动轮胎式装载机技术规范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土方机械纯电动液压挖掘机技术规范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土方机械纯电动非公路矿用自卸车技术规范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土方机械纯电动非公路宽体自卸车技术规范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土方机械高原隧道用纯电动液压挖掘机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土方机械高原隧道用纯电动轮胎式装载机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39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燃气用具连接用橡胶复合软管</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燃气用具连接用金属包覆软管</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燃气用具连接用不锈钢波纹软管</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电磁式燃气紧急切断阀</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商用燃气燃烧器具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电梯用钢丝绳</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索道用钢丝绳</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矿井提升用钢丝绳</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钢筋混凝土用钢第1部分：热轧光圆钢筋</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钢筋混凝土用钢第2部分：热轧带肋钢筋</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49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冷轧带肋钢筋</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爆炸性环境第15部分：电气装置设计、选型、安装规范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爆炸性环境第16部分：电气装置检查与维护规范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危险化学品重大危险源安全监控预警技术规范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氯气安全技术规范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作业场所环境气体检测报警仪通用技术要求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超重力强化氟化反应流程再造技术规范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危险化学品企业工艺平稳性第1部分：管理导则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危险化学品企业工艺平稳性第2部分：控制回路性能评估与优化技术规范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危险化学品企业设备完整性第1部分：管理体系要求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59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危险化学品企业设备完整性第2部分：技术实施指南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手动火灾报警按钮</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气体灭火系统及部件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火警受理系统</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防火窗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点型感温火灾探测器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电动汽车供电设备安全要求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国家能源局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电动汽车传导充电系统安全要求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工业和信息化部、国家能源局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营运纯电动汽车换电服务技术要求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交通运输部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电动汽车充换电服务信息交换第1部分：总则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69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动力蓄电池维修竣工出厂技术条件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交通运输部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重型商用车辆燃料消耗量限值</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工业和信息化部、交通运输部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智能网联汽车运行安全测试技术要求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公安部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hint="eastAsia" w:ascii="Times New Roman" w:hAnsi="Times New Roman" w:eastAsia="仿宋_GB2312" w:cs="Times New Roman"/>
                <w:color w:val="000000"/>
                <w:sz w:val="24"/>
                <w:lang w:eastAsia="zh-CN"/>
              </w:rPr>
            </w:pPr>
            <w:r>
              <w:rPr>
                <w:rFonts w:ascii="Times New Roman" w:hAnsi="Times New Roman" w:eastAsia="仿宋_GB2312" w:cs="Times New Roman"/>
                <w:color w:val="000000"/>
                <w:kern w:val="0"/>
                <w:sz w:val="24"/>
                <w:lang w:bidi="ar"/>
              </w:rPr>
              <w:t>家用和类似用途电器</w:t>
            </w:r>
            <w:bookmarkStart w:id="0" w:name="_GoBack"/>
            <w:bookmarkEnd w:id="0"/>
            <w:r>
              <w:rPr>
                <w:rFonts w:ascii="Times New Roman" w:hAnsi="Times New Roman" w:eastAsia="仿宋_GB2312" w:cs="Times New Roman"/>
                <w:color w:val="000000"/>
                <w:kern w:val="0"/>
                <w:sz w:val="24"/>
                <w:lang w:bidi="ar"/>
              </w:rPr>
              <w:t>安全规</w:t>
            </w:r>
            <w:r>
              <w:rPr>
                <w:rFonts w:hint="eastAsia" w:ascii="Times New Roman" w:hAnsi="Times New Roman" w:eastAsia="仿宋_GB2312" w:cs="Times New Roman"/>
                <w:color w:val="000000"/>
                <w:kern w:val="0"/>
                <w:sz w:val="24"/>
                <w:lang w:eastAsia="zh-CN" w:bidi="ar"/>
              </w:rPr>
              <w:t>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家用和类似用途电器的安全人员用电气运输设备的特殊要求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家用和类似用途电器可靠性试验及评价第2部分：制冷器具的特殊要求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家用和类似用途电器可靠性试验及评价第3部分：洗衣机的特殊要求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家用和类似用途洗衣干衣机技术要求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低温保存箱</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表面清洁器具第6部分：家用和类似用途湿式硬地板清洁器具性能测试方法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79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家用和类似用途电器噪声测试方法洗干一体机的特殊要求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婴幼儿及儿童家具安全技术规范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家具阻燃性能安全技术规范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家具中有害物质限量</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家具结构安全技术规范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木家具通用技术条件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金属家具通用技术条件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餐桌餐椅</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人造板及其制品气味分级及评价方法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国家林业和草原局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人造板及其制品挥发性有机化合物释放量分级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国家林业和草原局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89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消费品质量分级家具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消费品质量分级厨卫五金</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智能消费品安全第1部分：危害(源)识别</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智能消费品安全第2部分：风险评估</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智能消费品安全第3部分：风险控制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电动平衡车安全技术规范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sz w:val="24"/>
                <w:lang w:val="en-US" w:eastAsia="zh-CN"/>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电动平衡车、滑板车用锂离子电池和电池组安全技术规范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物流无人机货物吊挂控制通用要求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大型货运无人机系统通用要求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民用无人机产品标识要求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99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民用大中型固定翼无人机系统试飞风险科目实施飞行试验要求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民用大中型固定翼无人机地面控制站系统通用要求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家用和类似用途电器节能环保规范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家具绿色设计评价规范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电工电子产品环境意识设计术语</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绿色产品评价 人造板和木质地板</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国家林业和草原局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绿色产品评价 家具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绿色产品评价 卫生陶瓷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绿色产品评价 纸和纸制品</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 评价石材</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109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绿色产品评价装饰装修用预拌砂浆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绿色产品评价木塑制品</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风力发电场技改升级安全要求及评价方法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报废机动车回用件及再制造件交易溯源技术规范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报废机动车回用件交易平台建设规范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再生资源分拣中心建设和管理规范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再生资源回收利用网络规范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再生资源交易平台建设规范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公共机构废旧商品回收体系管理规范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车用动力电池回收利用通用要求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119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废轮胎加工处理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废弃电器电子产品回收规范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中华全国供销合作总社</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退役光伏组件梯次利用通用规范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再制造等离子喷涂技术规范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再生钢铁原料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中国钢铁工业协会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再生铜及铜合金棒线材</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再生铂族金属原料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再生锂原料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再生钛锭</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塑料再生塑料的标识和标志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129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塑料再生塑料限用物质限量要求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0"/>
                <w:sz w:val="24"/>
                <w:lang w:bidi="ar"/>
              </w:rPr>
            </w:pPr>
            <w:r>
              <w:rPr>
                <w:rFonts w:hint="eastAsia" w:ascii="Times New Roman" w:hAnsi="Times New Roman" w:eastAsia="仿宋_GB2312" w:cs="Times New Roman"/>
                <w:color w:val="000000"/>
                <w:kern w:val="0"/>
                <w:sz w:val="24"/>
                <w:lang w:val="en-US" w:eastAsia="zh-CN" w:bidi="ar"/>
              </w:rPr>
              <w:t>2024</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sz w:val="24"/>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燃煤发电机组单位产品能源消耗限额</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炼化行业单位产品能源消耗限额</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煤制烯烃、煤制天然气和煤制油单位产品能源消耗限额</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电动汽车充电桩能效限定值及能效等级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工业锅炉综合能效评价技术规范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高压三相笼型异步电动机能效限定值及能效等级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清水离心泵能效限定值及能效等级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冷水机组能效限定值及能效等级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中小型冷库(箱)和压缩冷凝机组能效限定值及能效等级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139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微型计算机能效限定值及能效等级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智能坐便器能效水效限定值及等级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洗碗机能效水效限定值及等级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家用和类似用途厨房电器能效限定值及能效等级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燃气灶具能效限定值及能效等级</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铅、锌工业污染物排放标准(大气部分)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酒类工业水污染物排放标准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固体废物鉴别标准通则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建筑施工场界环境噪声排放标准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粒子加速器辐射防护规定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生态环境部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149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碳排放核算与报告要求日用陶瓷企业</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产品碳足迹产品种类规则空调器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产品碳足迹产品种类规则电解铝</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中国有色金属工业协会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照明产品碳足迹核算方法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电子电器产品碳足迹量化要求和指南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建材产品减碳量评估方法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内燃机全生命周期碳排放核算技术规范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塑料制品碳足迹核算通则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产品碳足迹量化方法 化学纤维产品</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冶金石灰窑中二氧化碳回收处置技术规范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中国钢铁工业协会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159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三相干式立体卷铁芯电力变压器技术参数和要求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中国电器工业协会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高压直流开关共用技术要求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中国电器工业协会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高压直流输电用可控自恢复消能装置 第1部分：直流可控避雷器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中国电器工业协会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高压直流输电用可控自恢复消能装置 第2部分：交流可控避雷器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中国电器工业协会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大型全喂入联合收割机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农业拖拉机 通用技术条件 第2部分：50kW-130kW轮式拖拉机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农业拖拉机通用技术条件 第3部分：130kW以上轮式拖拉机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五轴联动加工中心检验条件 第1部分：卧式机床精度检验</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五轴联动加工中心检验条件 第2部分：立式机床精度检验</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keepNext w:val="0"/>
              <w:keepLines w:val="0"/>
              <w:pageBreakBefore w:val="0"/>
              <w:widowControl/>
              <w:kinsoku/>
              <w:wordWrap/>
              <w:overflowPunct/>
              <w:topLinePunct w:val="0"/>
              <w:autoSpaceDE/>
              <w:autoSpaceDN/>
              <w:bidi w:val="0"/>
              <w:adjustRightInd/>
              <w:snapToGrid/>
              <w:spacing w:line="340" w:lineRule="exact"/>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五轴联动加工中心检验条件 第3部分：技术条件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169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农业机械北斗自动驾驶系统</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信息化和工业化融合管理体系 生产设备运行管控信息模型分类与应用指南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工业互联网平台 设备健康管理要求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燃气燃烧器具用电安全通用技术要求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燃气输配设备安全基本技术要求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住房和城乡建设部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粉尘爆炸泄压指南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烟花爆竹生产机械设备安全技术规范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防火门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独立式感烟火灾探测报警器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应急管理部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家用防灾应急包</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设备更新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179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电动汽车用动力蓄电池安全要求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燃料电池电动汽车碰撞后安全要求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电动汽车用驱动电机系统</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汽车风窗玻璃除霜和除雾系统技术规范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机动车和挂车防抱制动性能要求及试验方法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道路车辆牵引车和挂车之间的电连接器24V15芯型</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道路车辆牵引车和挂车之间的电连接器 第2部分：12V13涉水芯型</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道路车辆汽车空调系统(MAC)用制冷系统安全要求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汽车空调用电动压缩机总成</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电动汽车充换电服务信息交换 第2部分：公共服务信息交换规范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189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电动汽车充换电服务信息交换 第3部分：业务服务信息交换规范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电动汽车充换电服务信息交换 第4部分：充换电设备与服务平台信息交换规范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电动汽车充换电服务信息交换 第5部分：数据传输及安全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电动汽车传导充电互操作性测试规范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电动汽车非车载传导式充电机与电池管理系统之间的通信协议一致性测试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电动汽车智能充放电设备技术规范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中国电力企业联合会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智能网联汽车组合驾驶辅助系统技术要求及试验方法 第1部分：单车道行驶控制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智能网联汽车组合驾驶辅助系统技术要求及试验方法 第2部分：多车道行驶控制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电动汽车远程服务与管理系统技术规范 第3部分：通讯协议及数据格式</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汽车数据通用要求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199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汽车整车信息安全技术要求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汽车软件升级通用技术要求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新能源汽车售后服务规范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电动汽车能量消耗量限值 第1部分：乘用车</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乘用车燃料消耗量限值</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机动车冷却液 第3部分：燃料电池汽车冷却液</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交通运输部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电动商用车换电安全要求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电动汽车传导充电系统 第X部分：用于GB/T20234.3的直流充电系统</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非车载传导式充电机与电动汽车之间的数字通信协议第X部分；用于GB/T20234.3的通信协议</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新能源汽车运行安全检验规程</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公安部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209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乘用车循环外技术/装置节能效果评价方法第5部分；发电机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道路车辆温室气体管理通用要求 第1部分：术语和定义</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道路车辆温室气体管理通用要求 第2部分：产品碳足迹标识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家用和类似用途电器的安全 第X部分：直流家用电器的特殊要求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家用和类似用途电器的安全 第X部分：新风净化机的特殊要求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家用和类似用途电器的安全使用年限和再生利用通则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家用和类似用途电器的安全使用年限房间空气调节器的特殊要求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家用和类似用途制冷器具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家用和类似用途电动洗衣机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商用清洁机器人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219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婴幼儿辅食机</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光伏电热水器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集成电灶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宠物用电动清洁养护器具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家用电器的人机交互第1部分；通用要求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无线供电厨房系统接口协议</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家用和类似用途电器包装集成灶的特殊要求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家用和类似用途电器的抗菌、除菌、净化功能储水式电热水器的特殊要求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家用和类似用途电器的抗菌、除菌、净化功能电坐便器便座的特殊要求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家用电器的适老化技术规范第1部分；通用要求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229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消费品质量分级家用电器空气净化器具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家用空调器用户体验评价规范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医院家具通用技术要求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家具用实木复合板通用技术条件</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家具智能等级评定及标识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智慧睡眠床垫功效学技术要求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中小学生午休课桌椅通用技术要求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适老家具设计指南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家用轮椅床</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室内装饰装修材料人造板及其制品中甲醛释放限量</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国家林业和草原局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239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浸渍胶膜纸饰面胶合板和细木工板</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国家林业和草原局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涂料中有害物质限量 第1部分：建筑涂料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消费品质量分级卫生洁具</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消费品质量分级陶瓷砖</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信息技术设备互连智能家居互联互通 第1部分：架构与通用要求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信息技术设备互连智能家居互联互通测试规范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信息技术信息设备互连智能家居系统评价指标体系和评价方法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信息技术信息设备互连智能家用电子系统局域互联第1部分；框架和通用要求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高动态范围(HDR)视频技术第1部分元数据及适配</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高动态范围(HDR)视频技术 第2部分：应用指南</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249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三维声技术规范 第1部分：编码分发与呈现</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音频、视频及多媒体系统与设备适老化设计要求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音频、视频及多媒体系统与设备适老化水平评价方法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消费品售后服务方法与要求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民用大中型固定翼无人机系统自主能力飞行试验要求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民用轻小型无人机碰撞安全性要求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民用无人机可靠性飞行试验要求与方法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民用无人驾驶航空器实名登记激活</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中国民用航空局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无人驾驶航空器运行识别(远程识别)</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中国民用航空局</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消费品以旧换新</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家具环境意识设计导则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259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绿色产品评价陶瓷砖(板)</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绿色产品评价绝热材料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绿色产品评价防水与密封材料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绿色产品评价墙体材料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绿色产品评价建筑玻璃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中国建筑材料联合会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塑料可回收再生设计指南第1部分；聚对苯二甲酸乙二醇酯(PET)材料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塑料可回收再生设计指南 第2部分：高密度聚乙烯(HDPE)材料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绿色产品评价光伏组件及逆变器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二手货品质鉴定通则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商务部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bdr w:val="single" w:color="000000" w:sz="4" w:space="0"/>
              </w:rPr>
              <mc:AlternateContent>
                <mc:Choice Requires="wps">
                  <w:drawing>
                    <wp:anchor distT="0" distB="0" distL="114300" distR="114300" simplePos="0" relativeHeight="251659264" behindDoc="0" locked="0" layoutInCell="1" allowOverlap="1">
                      <wp:simplePos x="0" y="0"/>
                      <wp:positionH relativeFrom="column">
                        <wp:posOffset>723900</wp:posOffset>
                      </wp:positionH>
                      <wp:positionV relativeFrom="paragraph">
                        <wp:posOffset>247650</wp:posOffset>
                      </wp:positionV>
                      <wp:extent cx="37465" cy="419735"/>
                      <wp:effectExtent l="0" t="0" r="0" b="0"/>
                      <wp:wrapNone/>
                      <wp:docPr id="1" name="矩形 1"/>
                      <wp:cNvGraphicFramePr/>
                      <a:graphic xmlns:a="http://schemas.openxmlformats.org/drawingml/2006/main">
                        <a:graphicData uri="http://schemas.microsoft.com/office/word/2010/wordprocessingShape">
                          <wps:wsp>
                            <wps:cNvSpPr/>
                            <wps:spPr>
                              <a:xfrm>
                                <a:off x="0" y="0"/>
                                <a:ext cx="37465" cy="419735"/>
                              </a:xfrm>
                              <a:prstGeom prst="rect">
                                <a:avLst/>
                              </a:prstGeom>
                              <a:noFill/>
                              <a:ln>
                                <a:noFill/>
                              </a:ln>
                              <a:effectLst/>
                            </wps:spPr>
                            <wps:bodyPr vert="horz" wrap="square" anchor="t" anchorCtr="0" upright="1"/>
                          </wps:wsp>
                        </a:graphicData>
                      </a:graphic>
                    </wp:anchor>
                  </w:drawing>
                </mc:Choice>
                <mc:Fallback>
                  <w:pict>
                    <v:rect id="_x0000_s1026" o:spid="_x0000_s1026" o:spt="1" style="position:absolute;left:0pt;margin-left:57pt;margin-top:19.5pt;height:33.05pt;width:2.95pt;z-index:251659264;mso-width-relative:page;mso-height-relative:page;" filled="f" stroked="f" coordsize="21600,21600" o:gfxdata="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AXTNfbaAAAACgEAAA8AAAAAAAAAAQAgAAAAIgAAAGRycy9kb3ducmV2Lnht&#10;bFBLAQIUABQAAAAIAIdO4kDIpEsevgEAAHUDAAAOAAAAAAAAAAEAIAAAACkBAABkcnMvZTJvRG9j&#10;LnhtbFBLBQYAAAAABgAGAFkBAABZBQAAAAA=&#10;">
                      <v:fill on="f" focussize="0,0"/>
                      <v:stroke on="f"/>
                      <v:imagedata o:title=""/>
                      <o:lock v:ext="edit" aspectratio="f"/>
                    </v:rect>
                  </w:pict>
                </mc:Fallback>
              </mc:AlternateContent>
            </w:r>
            <w:r>
              <w:rPr>
                <w:rFonts w:ascii="Times New Roman" w:hAnsi="Times New Roman" w:eastAsia="仿宋_GB2312" w:cs="Times New Roman"/>
                <w:color w:val="000000"/>
                <w:kern w:val="0"/>
                <w:sz w:val="24"/>
                <w:lang w:bidi="ar"/>
              </w:rPr>
              <w:t>二手货交易市场经营管理</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商务部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269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老旧汽车估值评价规范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商务部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传统经典车通用要求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商务部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报废机动车回用件通用技术规范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工业和信息化部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二手电子产品信息清除技术要求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二手家用电器产品品质鉴定规范第1部分；电冰箱、洗衣机、房间空调器</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二手电子产品可用程度分级规范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废旧家用电器回收服务评价规范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家用电器用废旧锂电池拆解及回收规范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轮胎翻新生产技术规范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轿车翻新轮胎</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279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载重汽车翻新轮胎</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工程机械翻新轮胎</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家具回收利用技术规范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中华全国供销合作总社、中国轻工业联合会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絮用纤维制品通用技术要求</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修订</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强制</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风能发电系统风力发电机组废弃纤维复合材料回收方法</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废旧农业机械回收体系建设规范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中国机械工业联合会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285</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重型机械 再制造设计规范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国家标准化管理委员会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286</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 第4部分：聚烯烃混合物材料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287</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 第12部分：聚甲基丙烯酸甲酯(PMMA)材料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288</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 第13部分：聚苯醚(PPE)材料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289</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塑料再生塑料产品评价技术规范第1部分；聚对苯二甲酸乙二醇酯(PET)材料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290</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塑料再生塑料产品评价技术规范 第2部分：聚苯乙烯(PS)材料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291</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塑料再生塑料成分鉴别第1部分；聚对苯二甲酸乙二醇酯(PET)材料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292</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塑料再生塑料成分鉴别 第2部分：聚丙烯(PP)材料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中国石油和化学工业联合会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92"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293</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公路用建筑垃圾再生集料及无机混合料</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交通运输部</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r>
        <w:tblPrEx>
          <w:tblCellMar>
            <w:top w:w="0" w:type="dxa"/>
            <w:left w:w="0" w:type="dxa"/>
            <w:bottom w:w="0" w:type="dxa"/>
            <w:right w:w="0" w:type="dxa"/>
          </w:tblCellMar>
        </w:tblPrEx>
        <w:trPr>
          <w:trHeight w:val="567" w:hRule="atLeast"/>
        </w:trPr>
        <w:tc>
          <w:tcPr>
            <w:tcW w:w="66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hint="default" w:ascii="Times New Roman" w:hAnsi="Times New Roman" w:eastAsia="仿宋_GB2312" w:cs="Times New Roman"/>
                <w:color w:val="000000"/>
                <w:kern w:val="0"/>
                <w:sz w:val="24"/>
                <w:lang w:val="en-US" w:eastAsia="zh-CN" w:bidi="ar"/>
              </w:rPr>
            </w:pPr>
            <w:r>
              <w:rPr>
                <w:rFonts w:hint="eastAsia" w:ascii="Times New Roman" w:hAnsi="Times New Roman" w:eastAsia="仿宋_GB2312" w:cs="Times New Roman"/>
                <w:color w:val="000000"/>
                <w:kern w:val="0"/>
                <w:sz w:val="24"/>
                <w:lang w:val="en-US" w:eastAsia="zh-CN" w:bidi="ar"/>
              </w:rPr>
              <w:t>294</w:t>
            </w:r>
          </w:p>
        </w:tc>
        <w:tc>
          <w:tcPr>
            <w:tcW w:w="508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both"/>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家用电器产品再生材料使用规范</w:t>
            </w:r>
          </w:p>
        </w:tc>
        <w:tc>
          <w:tcPr>
            <w:tcW w:w="1065"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制定</w:t>
            </w:r>
          </w:p>
        </w:tc>
        <w:tc>
          <w:tcPr>
            <w:tcW w:w="111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推荐</w:t>
            </w:r>
            <w:r>
              <w:rPr>
                <w:rFonts w:hint="eastAsia" w:ascii="Times New Roman" w:hAnsi="Times New Roman" w:eastAsia="仿宋_GB2312" w:cs="Times New Roman"/>
                <w:color w:val="000000"/>
                <w:kern w:val="0"/>
                <w:sz w:val="24"/>
                <w:lang w:val="en-US" w:eastAsia="zh-CN" w:bidi="ar"/>
              </w:rPr>
              <w:t>性</w:t>
            </w:r>
          </w:p>
        </w:tc>
        <w:tc>
          <w:tcPr>
            <w:tcW w:w="2955"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中国轻工业联合会</w:t>
            </w:r>
          </w:p>
        </w:tc>
        <w:tc>
          <w:tcPr>
            <w:tcW w:w="132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hint="eastAsia" w:ascii="Times New Roman" w:hAnsi="Times New Roman" w:eastAsia="仿宋_GB2312" w:cs="Times New Roman"/>
                <w:color w:val="000000"/>
                <w:kern w:val="0"/>
                <w:sz w:val="24"/>
                <w:szCs w:val="24"/>
                <w:lang w:val="en-US" w:eastAsia="zh-CN" w:bidi="ar"/>
              </w:rPr>
            </w:pPr>
            <w:r>
              <w:rPr>
                <w:rFonts w:hint="eastAsia" w:ascii="Times New Roman" w:hAnsi="Times New Roman" w:eastAsia="仿宋_GB2312" w:cs="Times New Roman"/>
                <w:color w:val="000000"/>
                <w:kern w:val="0"/>
                <w:sz w:val="24"/>
                <w:lang w:val="en-US" w:eastAsia="zh-CN" w:bidi="ar"/>
              </w:rPr>
              <w:t>2025</w:t>
            </w:r>
          </w:p>
        </w:tc>
        <w:tc>
          <w:tcPr>
            <w:tcW w:w="1890" w:type="dxa"/>
            <w:tcBorders>
              <w:top w:val="single" w:color="000000" w:sz="4" w:space="0"/>
              <w:left w:val="single" w:color="000000" w:sz="4" w:space="0"/>
              <w:bottom w:val="single" w:color="000000" w:sz="4" w:space="0"/>
              <w:right w:val="single" w:color="000000" w:sz="4" w:space="0"/>
            </w:tcBorders>
            <w:noWrap w:val="0"/>
            <w:tcMar>
              <w:top w:w="10" w:type="dxa"/>
              <w:left w:w="10" w:type="dxa"/>
              <w:right w:w="10" w:type="dxa"/>
            </w:tcMar>
            <w:vAlign w:val="center"/>
          </w:tcPr>
          <w:p>
            <w:pPr>
              <w:widowControl/>
              <w:jc w:val="center"/>
              <w:textAlignment w:val="center"/>
              <w:rPr>
                <w:rFonts w:ascii="Times New Roman" w:hAnsi="Times New Roman" w:eastAsia="仿宋_GB2312" w:cs="Times New Roman"/>
                <w:color w:val="000000"/>
                <w:kern w:val="2"/>
                <w:sz w:val="24"/>
                <w:szCs w:val="24"/>
                <w:lang w:val="en-US" w:eastAsia="zh-CN" w:bidi="ar-SA"/>
              </w:rPr>
            </w:pPr>
            <w:r>
              <w:rPr>
                <w:rFonts w:ascii="Times New Roman" w:hAnsi="Times New Roman" w:eastAsia="仿宋_GB2312" w:cs="Times New Roman"/>
                <w:color w:val="000000"/>
                <w:kern w:val="0"/>
                <w:sz w:val="24"/>
                <w:lang w:bidi="ar"/>
              </w:rPr>
              <w:t>循环利用</w:t>
            </w:r>
          </w:p>
        </w:tc>
      </w:tr>
    </w:tbl>
    <w:p>
      <w:pPr>
        <w:jc w:val="left"/>
        <w:rPr>
          <w:rFonts w:hint="eastAsia" w:ascii="方正小标宋简体" w:hAnsi="方正小标宋简体" w:eastAsia="方正小标宋简体" w:cs="方正小标宋简体"/>
          <w:color w:val="000000"/>
          <w:sz w:val="28"/>
          <w:szCs w:val="28"/>
          <w:lang w:eastAsia="zh-CN"/>
        </w:rPr>
      </w:pPr>
    </w:p>
    <w:p>
      <w:pPr>
        <w:pStyle w:val="2"/>
        <w:rPr>
          <w:rFonts w:hint="eastAsia" w:ascii="方正小标宋简体" w:hAnsi="方正小标宋简体" w:eastAsia="方正小标宋简体" w:cs="方正小标宋简体"/>
          <w:color w:val="000000"/>
          <w:sz w:val="28"/>
          <w:szCs w:val="28"/>
          <w:lang w:eastAsia="zh-CN"/>
        </w:rPr>
      </w:pPr>
    </w:p>
    <w:p>
      <w:pPr>
        <w:pStyle w:val="3"/>
        <w:rPr>
          <w:rFonts w:hint="eastAsia" w:ascii="方正小标宋简体" w:hAnsi="方正小标宋简体" w:eastAsia="方正小标宋简体" w:cs="方正小标宋简体"/>
          <w:color w:val="000000"/>
          <w:sz w:val="28"/>
          <w:szCs w:val="28"/>
          <w:lang w:eastAsia="zh-CN"/>
        </w:rPr>
      </w:pPr>
    </w:p>
    <w:p>
      <w:pPr>
        <w:rPr>
          <w:rFonts w:hint="eastAsia" w:ascii="方正小标宋简体" w:hAnsi="方正小标宋简体" w:eastAsia="方正小标宋简体" w:cs="方正小标宋简体"/>
          <w:color w:val="000000"/>
          <w:sz w:val="28"/>
          <w:szCs w:val="28"/>
          <w:lang w:eastAsia="zh-CN"/>
        </w:rPr>
      </w:pPr>
    </w:p>
    <w:p>
      <w:pPr>
        <w:pStyle w:val="2"/>
        <w:rPr>
          <w:rFonts w:hint="eastAsia" w:ascii="方正小标宋简体" w:hAnsi="方正小标宋简体" w:eastAsia="方正小标宋简体" w:cs="方正小标宋简体"/>
          <w:color w:val="000000"/>
          <w:sz w:val="28"/>
          <w:szCs w:val="28"/>
          <w:lang w:eastAsia="zh-CN"/>
        </w:rPr>
      </w:pPr>
    </w:p>
    <w:p>
      <w:pPr>
        <w:pStyle w:val="3"/>
        <w:rPr>
          <w:rFonts w:hint="eastAsia" w:ascii="方正小标宋简体" w:hAnsi="方正小标宋简体" w:eastAsia="方正小标宋简体" w:cs="方正小标宋简体"/>
          <w:color w:val="000000"/>
          <w:sz w:val="28"/>
          <w:szCs w:val="28"/>
          <w:lang w:eastAsia="zh-CN"/>
        </w:rPr>
      </w:pPr>
    </w:p>
    <w:p>
      <w:pPr>
        <w:rPr>
          <w:rFonts w:hint="eastAsia" w:ascii="方正小标宋简体" w:hAnsi="方正小标宋简体" w:eastAsia="方正小标宋简体" w:cs="方正小标宋简体"/>
          <w:color w:val="000000"/>
          <w:sz w:val="28"/>
          <w:szCs w:val="28"/>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b w:val="0"/>
          <w:bCs w:val="0"/>
          <w:color w:val="000000"/>
          <w:sz w:val="32"/>
          <w:szCs w:val="32"/>
          <w:lang w:val="en-US" w:eastAsia="zh-CN"/>
        </w:rPr>
      </w:pPr>
    </w:p>
    <w:p/>
    <w:sectPr>
      <w:footerReference r:id="rId3" w:type="default"/>
      <w:pgSz w:w="16838" w:h="11906" w:orient="landscape"/>
      <w:pgMar w:top="1800" w:right="1440" w:bottom="1800" w:left="144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hYWZhNzFjODVhN2ZjNzExYmE3NzNkMDhiNzExOGMifQ=="/>
  </w:docVars>
  <w:rsids>
    <w:rsidRoot w:val="6A445302"/>
    <w:rsid w:val="05A100C0"/>
    <w:rsid w:val="09D31129"/>
    <w:rsid w:val="0D7F0BA2"/>
    <w:rsid w:val="0E3E4848"/>
    <w:rsid w:val="17613F35"/>
    <w:rsid w:val="1BA36167"/>
    <w:rsid w:val="1C49761E"/>
    <w:rsid w:val="27F21621"/>
    <w:rsid w:val="2B014633"/>
    <w:rsid w:val="335B6EBF"/>
    <w:rsid w:val="37D27F5F"/>
    <w:rsid w:val="39AC4439"/>
    <w:rsid w:val="3AF64BEC"/>
    <w:rsid w:val="479D43AA"/>
    <w:rsid w:val="4BA2700E"/>
    <w:rsid w:val="4E3624F7"/>
    <w:rsid w:val="4EE34951"/>
    <w:rsid w:val="4F5E08D6"/>
    <w:rsid w:val="57A40647"/>
    <w:rsid w:val="5F972D3A"/>
    <w:rsid w:val="62334764"/>
    <w:rsid w:val="64412EB2"/>
    <w:rsid w:val="64941736"/>
    <w:rsid w:val="6A445302"/>
    <w:rsid w:val="6C9F749F"/>
    <w:rsid w:val="72D5488F"/>
    <w:rsid w:val="74693621"/>
    <w:rsid w:val="78661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before="0" w:after="140" w:line="276" w:lineRule="auto"/>
    </w:pPr>
  </w:style>
  <w:style w:type="paragraph" w:styleId="3">
    <w:name w:val="Body Text First Indent"/>
    <w:basedOn w:val="2"/>
    <w:next w:val="1"/>
    <w:qFormat/>
    <w:uiPriority w:val="0"/>
    <w:pPr>
      <w:spacing w:line="500" w:lineRule="exact"/>
      <w:ind w:firstLine="420"/>
    </w:pPr>
    <w:rPr>
      <w:sz w:val="2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paragraph" w:styleId="12">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14607</Words>
  <Characters>16124</Characters>
  <Lines>0</Lines>
  <Paragraphs>0</Paragraphs>
  <TotalTime>18</TotalTime>
  <ScaleCrop>false</ScaleCrop>
  <LinksUpToDate>false</LinksUpToDate>
  <CharactersWithSpaces>16665</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2024-06-13T07:33:00Z</dcterms:created>
  <dc:creator>Administrator</dc:creator>
  <cp:lastModifiedBy>Administrator</cp:lastModifiedBy>
  <cp:lastPrinted>2024-06-21T01:43:00Z</cp:lastPrinted>
  <dcterms:modified xsi:type="dcterms:W3CDTF">2024-07-15T08:26:28Z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BE8FFD76E5E2451AB5AFA05F95BD0F24</vt:lpwstr>
  </property>
</Properties>
</file>