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75C77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东阳市建设用地规划条件</w:t>
      </w:r>
    </w:p>
    <w:p w14:paraId="411DA7A2">
      <w:pPr>
        <w:jc w:val="center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东自然资规条字[2025]第   号</w:t>
      </w:r>
    </w:p>
    <w:p w14:paraId="7FD3F644">
      <w:pPr>
        <w:spacing w:line="400" w:lineRule="exact"/>
        <w:ind w:left="0" w:hanging="84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一、用地性质</w:t>
      </w:r>
    </w:p>
    <w:p w14:paraId="7DE3D0E7">
      <w:pPr>
        <w:spacing w:line="400" w:lineRule="exact"/>
        <w:ind w:left="62" w:hanging="360"/>
        <w:rPr>
          <w:rFonts w:ascii="仿宋" w:hAnsi="仿宋" w:eastAsia="仿宋"/>
          <w:b/>
          <w:sz w:val="24"/>
          <w:szCs w:val="24"/>
          <w:u w:val="single"/>
        </w:rPr>
      </w:pPr>
      <w:r>
        <w:rPr>
          <w:rFonts w:hint="eastAsia" w:ascii="仿宋_GB2312" w:eastAsia="仿宋_GB2312"/>
          <w:sz w:val="30"/>
          <w:lang w:eastAsia="zh-CN"/>
        </w:rPr>
        <w:t>一类工业</w:t>
      </w:r>
      <w:r>
        <w:rPr>
          <w:rFonts w:hint="eastAsia" w:ascii="仿宋_GB2312" w:eastAsia="仿宋_GB2312"/>
          <w:sz w:val="30"/>
        </w:rPr>
        <w:t>用地</w:t>
      </w:r>
    </w:p>
    <w:p w14:paraId="7874C6F2">
      <w:pPr>
        <w:spacing w:line="400" w:lineRule="exact"/>
        <w:ind w:left="-3" w:hanging="837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二、位置、四至</w:t>
      </w:r>
    </w:p>
    <w:tbl>
      <w:tblPr>
        <w:tblStyle w:val="19"/>
        <w:tblW w:w="10070" w:type="dxa"/>
        <w:tblInd w:w="-80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383"/>
        <w:gridCol w:w="8100"/>
      </w:tblGrid>
      <w:tr w14:paraId="185E31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87" w:type="dxa"/>
            <w:noWrap w:val="0"/>
            <w:vAlign w:val="center"/>
          </w:tcPr>
          <w:p w14:paraId="519E213B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383" w:type="dxa"/>
            <w:noWrap w:val="0"/>
            <w:vAlign w:val="center"/>
          </w:tcPr>
          <w:p w14:paraId="0E27E77A">
            <w:pPr>
              <w:spacing w:line="40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用地位置</w:t>
            </w:r>
          </w:p>
        </w:tc>
        <w:tc>
          <w:tcPr>
            <w:tcW w:w="8100" w:type="dxa"/>
            <w:noWrap w:val="0"/>
            <w:vAlign w:val="center"/>
          </w:tcPr>
          <w:p w14:paraId="5998BDB7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东阳经济开发区广福东街以北、东康路以西局部地块</w:t>
            </w:r>
          </w:p>
        </w:tc>
      </w:tr>
      <w:tr w14:paraId="00FB82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87" w:type="dxa"/>
            <w:noWrap w:val="0"/>
            <w:vAlign w:val="center"/>
          </w:tcPr>
          <w:p w14:paraId="6FE0B924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1383" w:type="dxa"/>
            <w:noWrap w:val="0"/>
            <w:vAlign w:val="center"/>
          </w:tcPr>
          <w:p w14:paraId="555F7CD8">
            <w:pPr>
              <w:spacing w:line="40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四至范围</w:t>
            </w:r>
          </w:p>
        </w:tc>
        <w:tc>
          <w:tcPr>
            <w:tcW w:w="8100" w:type="dxa"/>
            <w:noWrap w:val="0"/>
            <w:vAlign w:val="center"/>
          </w:tcPr>
          <w:p w14:paraId="1946ACB9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东阳经济开发区广福东街以北、东康路以西，用地位置及四至详见用地红线图。</w:t>
            </w:r>
          </w:p>
        </w:tc>
      </w:tr>
    </w:tbl>
    <w:p w14:paraId="0A7250BE">
      <w:pPr>
        <w:spacing w:line="400" w:lineRule="exact"/>
        <w:ind w:left="0" w:hanging="84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三、技术指标</w:t>
      </w:r>
    </w:p>
    <w:tbl>
      <w:tblPr>
        <w:tblStyle w:val="19"/>
        <w:tblW w:w="9957" w:type="dxa"/>
        <w:tblInd w:w="-77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444"/>
        <w:gridCol w:w="7938"/>
      </w:tblGrid>
      <w:tr w14:paraId="4BB809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5" w:type="dxa"/>
            <w:noWrap w:val="0"/>
            <w:vAlign w:val="center"/>
          </w:tcPr>
          <w:p w14:paraId="532D9249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444" w:type="dxa"/>
            <w:noWrap w:val="0"/>
            <w:vAlign w:val="center"/>
          </w:tcPr>
          <w:p w14:paraId="0948D54D">
            <w:pPr>
              <w:spacing w:line="4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净用地面积</w:t>
            </w:r>
          </w:p>
        </w:tc>
        <w:tc>
          <w:tcPr>
            <w:tcW w:w="7938" w:type="dxa"/>
            <w:noWrap w:val="0"/>
            <w:vAlign w:val="center"/>
          </w:tcPr>
          <w:p w14:paraId="0FF4B9B0"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101183</w:t>
            </w:r>
            <w:r>
              <w:rPr>
                <w:rFonts w:ascii="宋体" w:hAnsi="宋体" w:cs="宋体"/>
                <w:sz w:val="24"/>
                <w:szCs w:val="24"/>
              </w:rPr>
              <w:t>平方米。</w:t>
            </w:r>
          </w:p>
        </w:tc>
      </w:tr>
      <w:tr w14:paraId="62C04F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5" w:type="dxa"/>
            <w:noWrap w:val="0"/>
            <w:vAlign w:val="center"/>
          </w:tcPr>
          <w:p w14:paraId="5CF30CD8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1444" w:type="dxa"/>
            <w:noWrap w:val="0"/>
            <w:vAlign w:val="center"/>
          </w:tcPr>
          <w:p w14:paraId="53734701">
            <w:pPr>
              <w:spacing w:line="4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建筑密度</w:t>
            </w:r>
          </w:p>
        </w:tc>
        <w:tc>
          <w:tcPr>
            <w:tcW w:w="7938" w:type="dxa"/>
            <w:noWrap w:val="0"/>
            <w:vAlign w:val="center"/>
          </w:tcPr>
          <w:p w14:paraId="2F423B85"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40</w:t>
            </w:r>
            <w:r>
              <w:rPr>
                <w:rFonts w:ascii="宋体" w:hAnsi="宋体" w:cs="宋体"/>
                <w:sz w:val="24"/>
                <w:szCs w:val="24"/>
              </w:rPr>
              <w:t>%-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60</w:t>
            </w:r>
            <w:r>
              <w:rPr>
                <w:rFonts w:ascii="宋体" w:hAnsi="宋体" w:cs="宋体"/>
                <w:sz w:val="24"/>
                <w:szCs w:val="24"/>
              </w:rPr>
              <w:t>%。</w:t>
            </w:r>
          </w:p>
        </w:tc>
      </w:tr>
      <w:tr w14:paraId="219BDE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5" w:type="dxa"/>
            <w:noWrap w:val="0"/>
            <w:vAlign w:val="center"/>
          </w:tcPr>
          <w:p w14:paraId="7936A995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</w:p>
        </w:tc>
        <w:tc>
          <w:tcPr>
            <w:tcW w:w="1444" w:type="dxa"/>
            <w:noWrap w:val="0"/>
            <w:vAlign w:val="center"/>
          </w:tcPr>
          <w:p w14:paraId="52801B91">
            <w:pPr>
              <w:spacing w:line="4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容积率</w:t>
            </w:r>
          </w:p>
        </w:tc>
        <w:tc>
          <w:tcPr>
            <w:tcW w:w="7938" w:type="dxa"/>
            <w:noWrap w:val="0"/>
            <w:vAlign w:val="center"/>
          </w:tcPr>
          <w:p w14:paraId="1EF543E7"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不大于3.0</w:t>
            </w:r>
            <w:r>
              <w:rPr>
                <w:rFonts w:hint="eastAsia" w:ascii="宋体" w:hAnsi="宋体" w:cs="宋体"/>
                <w:sz w:val="24"/>
                <w:szCs w:val="24"/>
              </w:rPr>
              <w:t>。</w:t>
            </w:r>
          </w:p>
        </w:tc>
      </w:tr>
      <w:tr w14:paraId="7E611C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5" w:type="dxa"/>
            <w:noWrap w:val="0"/>
            <w:vAlign w:val="center"/>
          </w:tcPr>
          <w:p w14:paraId="16FC7B47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</w:p>
        </w:tc>
        <w:tc>
          <w:tcPr>
            <w:tcW w:w="1444" w:type="dxa"/>
            <w:noWrap w:val="0"/>
            <w:vAlign w:val="center"/>
          </w:tcPr>
          <w:p w14:paraId="06FF5CA5">
            <w:pPr>
              <w:spacing w:line="4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建筑高度</w:t>
            </w:r>
          </w:p>
        </w:tc>
        <w:tc>
          <w:tcPr>
            <w:tcW w:w="7938" w:type="dxa"/>
            <w:noWrap w:val="0"/>
            <w:vAlign w:val="center"/>
          </w:tcPr>
          <w:p w14:paraId="04F62E39">
            <w:r>
              <w:rPr>
                <w:rFonts w:hint="eastAsia" w:ascii="宋体" w:hAnsi="宋体" w:cs="宋体"/>
                <w:sz w:val="24"/>
                <w:szCs w:val="24"/>
              </w:rPr>
              <w:t>不大于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  <w:szCs w:val="24"/>
              </w:rPr>
              <w:t>米。</w:t>
            </w:r>
          </w:p>
        </w:tc>
      </w:tr>
      <w:tr w14:paraId="612065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5" w:type="dxa"/>
            <w:noWrap w:val="0"/>
            <w:vAlign w:val="center"/>
          </w:tcPr>
          <w:p w14:paraId="5387ED69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</w:p>
        </w:tc>
        <w:tc>
          <w:tcPr>
            <w:tcW w:w="1444" w:type="dxa"/>
            <w:noWrap w:val="0"/>
            <w:vAlign w:val="center"/>
          </w:tcPr>
          <w:p w14:paraId="1BEBF504">
            <w:pPr>
              <w:spacing w:line="4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绿地率</w:t>
            </w:r>
          </w:p>
        </w:tc>
        <w:tc>
          <w:tcPr>
            <w:tcW w:w="7938" w:type="dxa"/>
            <w:noWrap w:val="0"/>
            <w:vAlign w:val="center"/>
          </w:tcPr>
          <w:p w14:paraId="45F0CD54"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</w:rPr>
              <w:t>0%-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</w:rPr>
              <w:t>%。</w:t>
            </w:r>
          </w:p>
        </w:tc>
      </w:tr>
    </w:tbl>
    <w:p w14:paraId="39AFB7B8">
      <w:pPr>
        <w:spacing w:line="400" w:lineRule="exact"/>
        <w:ind w:left="0" w:hanging="840"/>
        <w:rPr>
          <w:rFonts w:ascii="仿宋" w:hAnsi="仿宋" w:eastAsia="仿宋"/>
          <w:b/>
          <w:color w:val="FF0000"/>
          <w:sz w:val="28"/>
        </w:rPr>
      </w:pPr>
      <w:r>
        <w:rPr>
          <w:rFonts w:hint="eastAsia" w:ascii="仿宋" w:hAnsi="仿宋" w:eastAsia="仿宋"/>
          <w:b/>
          <w:sz w:val="28"/>
        </w:rPr>
        <w:t>四、建筑退界</w:t>
      </w:r>
    </w:p>
    <w:tbl>
      <w:tblPr>
        <w:tblStyle w:val="19"/>
        <w:tblW w:w="10070" w:type="dxa"/>
        <w:tblInd w:w="-80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792"/>
        <w:gridCol w:w="7743"/>
      </w:tblGrid>
      <w:tr w14:paraId="4A82CE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35" w:type="dxa"/>
            <w:noWrap w:val="0"/>
            <w:vAlign w:val="center"/>
          </w:tcPr>
          <w:p w14:paraId="45810BE5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792" w:type="dxa"/>
            <w:noWrap w:val="0"/>
            <w:vAlign w:val="center"/>
          </w:tcPr>
          <w:p w14:paraId="1816129D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地上建筑物后退要求</w:t>
            </w:r>
          </w:p>
        </w:tc>
        <w:tc>
          <w:tcPr>
            <w:tcW w:w="7743" w:type="dxa"/>
            <w:noWrap w:val="0"/>
            <w:vAlign w:val="center"/>
          </w:tcPr>
          <w:p w14:paraId="11C48117">
            <w:r>
              <w:rPr>
                <w:rFonts w:ascii="宋体" w:hAnsi="宋体" w:cs="宋体"/>
                <w:sz w:val="24"/>
                <w:szCs w:val="24"/>
              </w:rPr>
              <w:t>在满足日照、消防、工程管线、建筑保护等要求的前提下，按《东阳市城市规划管理技术规定（试行）》执行。</w:t>
            </w:r>
          </w:p>
        </w:tc>
      </w:tr>
      <w:tr w14:paraId="1FC81E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35" w:type="dxa"/>
            <w:noWrap w:val="0"/>
            <w:vAlign w:val="center"/>
          </w:tcPr>
          <w:p w14:paraId="044D9595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1792" w:type="dxa"/>
            <w:noWrap w:val="0"/>
            <w:vAlign w:val="center"/>
          </w:tcPr>
          <w:p w14:paraId="59D4C121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地下建筑物后退要求</w:t>
            </w:r>
          </w:p>
        </w:tc>
        <w:tc>
          <w:tcPr>
            <w:tcW w:w="7743" w:type="dxa"/>
            <w:noWrap w:val="0"/>
            <w:vAlign w:val="center"/>
          </w:tcPr>
          <w:p w14:paraId="66E18847">
            <w:r>
              <w:rPr>
                <w:rFonts w:hint="eastAsia" w:ascii="宋体" w:hAnsi="宋体" w:cs="宋体"/>
                <w:sz w:val="24"/>
                <w:szCs w:val="24"/>
              </w:rPr>
              <w:t>在满足周边建筑、道路、市政管线安全等的前提下，按《东阳市城市规划管理技术规定（试行）》执行。</w:t>
            </w:r>
          </w:p>
        </w:tc>
      </w:tr>
      <w:tr w14:paraId="7B7A05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35" w:type="dxa"/>
            <w:noWrap w:val="0"/>
            <w:vAlign w:val="center"/>
          </w:tcPr>
          <w:p w14:paraId="32FF6142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</w:p>
        </w:tc>
        <w:tc>
          <w:tcPr>
            <w:tcW w:w="1792" w:type="dxa"/>
            <w:noWrap w:val="0"/>
            <w:vAlign w:val="center"/>
          </w:tcPr>
          <w:p w14:paraId="6E30B228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附属建、构筑物后退要求</w:t>
            </w:r>
          </w:p>
        </w:tc>
        <w:tc>
          <w:tcPr>
            <w:tcW w:w="7743" w:type="dxa"/>
            <w:noWrap w:val="0"/>
            <w:vAlign w:val="center"/>
          </w:tcPr>
          <w:p w14:paraId="09478FD6">
            <w:r>
              <w:rPr>
                <w:rFonts w:hint="eastAsia" w:ascii="宋体" w:hAnsi="宋体" w:cs="宋体"/>
                <w:sz w:val="24"/>
                <w:szCs w:val="24"/>
              </w:rPr>
              <w:t>建筑高度不超过5米（含5米）的变配电房、室外箱式变、单层门卫、传达室等附属建筑物、构筑物，后退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</w:t>
            </w:r>
            <w:r>
              <w:rPr>
                <w:rFonts w:hint="eastAsia" w:ascii="宋体" w:hAnsi="宋体" w:cs="宋体"/>
                <w:sz w:val="24"/>
                <w:szCs w:val="24"/>
              </w:rPr>
              <w:t>侧道路红线不少于3米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，其余后退用地红线不少于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3米</w:t>
            </w:r>
            <w:r>
              <w:rPr>
                <w:rFonts w:hint="eastAsia" w:ascii="宋体" w:hAnsi="宋体" w:cs="宋体"/>
                <w:sz w:val="24"/>
                <w:szCs w:val="24"/>
              </w:rPr>
              <w:t>；建筑高度超过5米的按地上建筑后退控制。</w:t>
            </w:r>
          </w:p>
        </w:tc>
      </w:tr>
      <w:tr w14:paraId="166E4C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35" w:type="dxa"/>
            <w:noWrap w:val="0"/>
            <w:vAlign w:val="center"/>
          </w:tcPr>
          <w:p w14:paraId="275E8656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</w:p>
        </w:tc>
        <w:tc>
          <w:tcPr>
            <w:tcW w:w="1792" w:type="dxa"/>
            <w:noWrap w:val="0"/>
            <w:vAlign w:val="center"/>
          </w:tcPr>
          <w:p w14:paraId="230C6B52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围墙后退要求</w:t>
            </w:r>
          </w:p>
        </w:tc>
        <w:tc>
          <w:tcPr>
            <w:tcW w:w="7743" w:type="dxa"/>
            <w:noWrap w:val="0"/>
            <w:vAlign w:val="center"/>
          </w:tcPr>
          <w:p w14:paraId="21FF781B">
            <w:r>
              <w:rPr>
                <w:rFonts w:hint="eastAsia" w:ascii="宋体" w:hAnsi="宋体" w:cs="宋体"/>
                <w:sz w:val="24"/>
                <w:szCs w:val="24"/>
              </w:rPr>
              <w:t>围墙后退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东侧</w:t>
            </w:r>
            <w:r>
              <w:rPr>
                <w:rFonts w:hint="eastAsia" w:ascii="宋体" w:hAnsi="宋体" w:cs="宋体"/>
                <w:sz w:val="24"/>
                <w:szCs w:val="24"/>
              </w:rPr>
              <w:t>道路红线不少于1米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，其余不得突出用地红线</w:t>
            </w:r>
            <w:r>
              <w:rPr>
                <w:rFonts w:hint="eastAsia" w:ascii="宋体" w:hAnsi="宋体" w:cs="宋体"/>
                <w:sz w:val="24"/>
                <w:szCs w:val="24"/>
              </w:rPr>
              <w:t>。</w:t>
            </w:r>
          </w:p>
        </w:tc>
      </w:tr>
    </w:tbl>
    <w:p w14:paraId="375D1F24">
      <w:pPr>
        <w:spacing w:line="400" w:lineRule="exact"/>
        <w:ind w:left="0" w:hanging="84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五、交通组织</w:t>
      </w:r>
    </w:p>
    <w:tbl>
      <w:tblPr>
        <w:tblStyle w:val="19"/>
        <w:tblW w:w="10070" w:type="dxa"/>
        <w:tblInd w:w="-80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792"/>
        <w:gridCol w:w="7743"/>
      </w:tblGrid>
      <w:tr w14:paraId="5E6E47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535" w:type="dxa"/>
            <w:noWrap w:val="0"/>
            <w:vAlign w:val="center"/>
          </w:tcPr>
          <w:p w14:paraId="53B1E4F3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792" w:type="dxa"/>
            <w:noWrap w:val="0"/>
            <w:vAlign w:val="center"/>
          </w:tcPr>
          <w:p w14:paraId="2FE83903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出入口设置要求</w:t>
            </w:r>
          </w:p>
        </w:tc>
        <w:tc>
          <w:tcPr>
            <w:tcW w:w="7743" w:type="dxa"/>
            <w:noWrap w:val="0"/>
            <w:vAlign w:val="center"/>
          </w:tcPr>
          <w:p w14:paraId="40A67432">
            <w:r>
              <w:rPr>
                <w:rFonts w:hint="eastAsia" w:ascii="宋体" w:hAnsi="宋体" w:cs="宋体"/>
                <w:sz w:val="24"/>
                <w:szCs w:val="24"/>
              </w:rPr>
              <w:t>主要出入口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主要设置在地块东侧或北侧</w:t>
            </w:r>
            <w:r>
              <w:rPr>
                <w:rFonts w:hint="eastAsia" w:ascii="宋体" w:hAnsi="宋体" w:cs="宋体"/>
                <w:sz w:val="24"/>
                <w:szCs w:val="24"/>
              </w:rPr>
              <w:t>，合理组织交通，并应满足有关规范要求。</w:t>
            </w:r>
            <w:bookmarkStart w:id="0" w:name="_GoBack"/>
            <w:bookmarkEnd w:id="0"/>
          </w:p>
        </w:tc>
      </w:tr>
      <w:tr w14:paraId="1E1558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535" w:type="dxa"/>
            <w:noWrap w:val="0"/>
            <w:vAlign w:val="center"/>
          </w:tcPr>
          <w:p w14:paraId="158CF16D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1792" w:type="dxa"/>
            <w:noWrap w:val="0"/>
            <w:vAlign w:val="center"/>
          </w:tcPr>
          <w:p w14:paraId="690C5732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停车位配建要求</w:t>
            </w:r>
          </w:p>
        </w:tc>
        <w:tc>
          <w:tcPr>
            <w:tcW w:w="7743" w:type="dxa"/>
            <w:noWrap w:val="0"/>
            <w:vAlign w:val="center"/>
          </w:tcPr>
          <w:p w14:paraId="3A86E909">
            <w:r>
              <w:rPr>
                <w:rFonts w:hint="eastAsia" w:ascii="宋体" w:hAnsi="宋体" w:cs="宋体"/>
                <w:sz w:val="24"/>
                <w:szCs w:val="24"/>
              </w:rPr>
              <w:t>按浙江省城市建筑工程停车场(库)设置规则和配建指标标准（2023）执行。</w:t>
            </w:r>
          </w:p>
        </w:tc>
      </w:tr>
      <w:tr w14:paraId="7A2486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535" w:type="dxa"/>
            <w:noWrap w:val="0"/>
            <w:vAlign w:val="center"/>
          </w:tcPr>
          <w:p w14:paraId="7D3DC801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</w:p>
        </w:tc>
        <w:tc>
          <w:tcPr>
            <w:tcW w:w="1792" w:type="dxa"/>
            <w:noWrap w:val="0"/>
            <w:vAlign w:val="center"/>
          </w:tcPr>
          <w:p w14:paraId="52002D12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其他要求</w:t>
            </w:r>
          </w:p>
        </w:tc>
        <w:tc>
          <w:tcPr>
            <w:tcW w:w="7743" w:type="dxa"/>
            <w:noWrap w:val="0"/>
            <w:vAlign w:val="center"/>
          </w:tcPr>
          <w:p w14:paraId="3EE59B2B">
            <w:r>
              <w:rPr>
                <w:rFonts w:hint="eastAsia" w:ascii="宋体" w:hAnsi="宋体" w:cs="宋体"/>
                <w:sz w:val="24"/>
                <w:szCs w:val="24"/>
              </w:rPr>
              <w:t>无。</w:t>
            </w:r>
          </w:p>
        </w:tc>
      </w:tr>
    </w:tbl>
    <w:p w14:paraId="1810C9B8">
      <w:pPr>
        <w:spacing w:line="400" w:lineRule="exact"/>
        <w:ind w:left="0" w:hanging="84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六、竖向控制</w:t>
      </w:r>
    </w:p>
    <w:tbl>
      <w:tblPr>
        <w:tblStyle w:val="19"/>
        <w:tblW w:w="10070" w:type="dxa"/>
        <w:tblInd w:w="-79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435"/>
        <w:gridCol w:w="8100"/>
      </w:tblGrid>
      <w:tr w14:paraId="179603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35" w:type="dxa"/>
            <w:noWrap w:val="0"/>
            <w:vAlign w:val="center"/>
          </w:tcPr>
          <w:p w14:paraId="71045052">
            <w:pPr>
              <w:spacing w:line="4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435" w:type="dxa"/>
            <w:noWrap w:val="0"/>
            <w:vAlign w:val="center"/>
          </w:tcPr>
          <w:p w14:paraId="4052F731">
            <w:pPr>
              <w:spacing w:line="4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室外地坪</w:t>
            </w:r>
          </w:p>
        </w:tc>
        <w:tc>
          <w:tcPr>
            <w:tcW w:w="8100" w:type="dxa"/>
            <w:noWrap w:val="0"/>
            <w:vAlign w:val="center"/>
          </w:tcPr>
          <w:p w14:paraId="36B885EE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场地设计标高应与相邻地块或周边道路相协调。地块上界限高程为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151.00</w:t>
            </w:r>
            <w:r>
              <w:rPr>
                <w:rFonts w:hint="eastAsia" w:ascii="宋体" w:hAnsi="宋体" w:cs="宋体"/>
                <w:sz w:val="24"/>
                <w:szCs w:val="24"/>
              </w:rPr>
              <w:t>m，下界限高程为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78.0</w:t>
            </w:r>
            <w:r>
              <w:rPr>
                <w:rFonts w:hint="eastAsia" w:ascii="宋体" w:hAnsi="宋体" w:cs="宋体"/>
                <w:sz w:val="24"/>
                <w:szCs w:val="24"/>
              </w:rPr>
              <w:t>0m，起算点为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91.00</w:t>
            </w:r>
            <w:r>
              <w:rPr>
                <w:rFonts w:hint="eastAsia" w:ascii="宋体" w:hAnsi="宋体" w:cs="宋体"/>
                <w:sz w:val="24"/>
                <w:szCs w:val="24"/>
              </w:rPr>
              <w:t>m。</w:t>
            </w:r>
          </w:p>
        </w:tc>
      </w:tr>
    </w:tbl>
    <w:p w14:paraId="18E252C1">
      <w:pPr>
        <w:spacing w:line="400" w:lineRule="exact"/>
        <w:ind w:left="0" w:hanging="84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七、地下空间开发</w:t>
      </w:r>
    </w:p>
    <w:tbl>
      <w:tblPr>
        <w:tblStyle w:val="19"/>
        <w:tblW w:w="10070" w:type="dxa"/>
        <w:tblInd w:w="-77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344"/>
        <w:gridCol w:w="8191"/>
      </w:tblGrid>
      <w:tr w14:paraId="14A3E5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535" w:type="dxa"/>
            <w:noWrap w:val="0"/>
            <w:vAlign w:val="center"/>
          </w:tcPr>
          <w:p w14:paraId="2301535D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344" w:type="dxa"/>
            <w:noWrap w:val="0"/>
            <w:vAlign w:val="center"/>
          </w:tcPr>
          <w:p w14:paraId="77DC2645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地下配建设施要求</w:t>
            </w:r>
          </w:p>
        </w:tc>
        <w:tc>
          <w:tcPr>
            <w:tcW w:w="8191" w:type="dxa"/>
            <w:noWrap w:val="0"/>
            <w:vAlign w:val="center"/>
          </w:tcPr>
          <w:p w14:paraId="40138A80">
            <w:r>
              <w:rPr>
                <w:rFonts w:hint="eastAsia" w:ascii="宋体" w:hAnsi="宋体" w:cs="宋体"/>
                <w:sz w:val="24"/>
                <w:szCs w:val="24"/>
              </w:rPr>
              <w:t>除必要的人防、消防、配电等功能外，地下主要建筑功能为停车。</w:t>
            </w:r>
          </w:p>
        </w:tc>
      </w:tr>
      <w:tr w14:paraId="476894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5" w:type="dxa"/>
            <w:noWrap w:val="0"/>
            <w:vAlign w:val="center"/>
          </w:tcPr>
          <w:p w14:paraId="2BFAEB02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1344" w:type="dxa"/>
            <w:noWrap w:val="0"/>
            <w:vAlign w:val="center"/>
          </w:tcPr>
          <w:p w14:paraId="38F0B882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其他要求</w:t>
            </w:r>
          </w:p>
        </w:tc>
        <w:tc>
          <w:tcPr>
            <w:tcW w:w="8191" w:type="dxa"/>
            <w:noWrap w:val="0"/>
            <w:vAlign w:val="center"/>
          </w:tcPr>
          <w:p w14:paraId="2ADE49CF">
            <w:r>
              <w:rPr>
                <w:rFonts w:hint="eastAsia" w:ascii="宋体" w:hAnsi="宋体" w:cs="宋体"/>
                <w:sz w:val="24"/>
                <w:szCs w:val="24"/>
              </w:rPr>
              <w:t>无。</w:t>
            </w:r>
          </w:p>
        </w:tc>
      </w:tr>
    </w:tbl>
    <w:p w14:paraId="60F1F732">
      <w:pPr>
        <w:spacing w:line="400" w:lineRule="exact"/>
        <w:ind w:left="0" w:hanging="84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八、</w:t>
      </w:r>
      <w:r>
        <w:rPr>
          <w:rFonts w:hint="eastAsia" w:ascii="仿宋" w:hAnsi="仿宋" w:eastAsia="仿宋"/>
          <w:b/>
          <w:sz w:val="28"/>
          <w:szCs w:val="22"/>
        </w:rPr>
        <w:t>城市设计</w:t>
      </w:r>
    </w:p>
    <w:tbl>
      <w:tblPr>
        <w:tblStyle w:val="19"/>
        <w:tblW w:w="10070" w:type="dxa"/>
        <w:tblInd w:w="-77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344"/>
        <w:gridCol w:w="8191"/>
      </w:tblGrid>
      <w:tr w14:paraId="01DD80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535" w:type="dxa"/>
            <w:noWrap w:val="0"/>
            <w:vAlign w:val="center"/>
          </w:tcPr>
          <w:p w14:paraId="3609B199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344" w:type="dxa"/>
            <w:noWrap w:val="0"/>
            <w:vAlign w:val="center"/>
          </w:tcPr>
          <w:p w14:paraId="6B30E0B9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总平面布局要求</w:t>
            </w:r>
          </w:p>
        </w:tc>
        <w:tc>
          <w:tcPr>
            <w:tcW w:w="8191" w:type="dxa"/>
            <w:noWrap w:val="0"/>
            <w:vAlign w:val="center"/>
          </w:tcPr>
          <w:p w14:paraId="717E4366">
            <w:r>
              <w:rPr>
                <w:rFonts w:hint="eastAsia" w:ascii="宋体" w:hAnsi="宋体" w:cs="宋体"/>
                <w:sz w:val="24"/>
                <w:szCs w:val="24"/>
              </w:rPr>
              <w:t>地块总平面布局应满足安全、日照、通风、消防和厂房建筑等规范要求，并应与周边环境相协调。办公、生活等附属设施建设规模占比应符合省市现行政策要求。禁止在用地范围内建造成套职工住宅、专家楼、宾馆和招待所等设施。</w:t>
            </w:r>
          </w:p>
        </w:tc>
      </w:tr>
      <w:tr w14:paraId="6FA596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535" w:type="dxa"/>
            <w:noWrap w:val="0"/>
            <w:vAlign w:val="center"/>
          </w:tcPr>
          <w:p w14:paraId="51614FD1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1344" w:type="dxa"/>
            <w:noWrap w:val="0"/>
            <w:vAlign w:val="center"/>
          </w:tcPr>
          <w:p w14:paraId="1BCD84DE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/>
                <w:b/>
                <w:sz w:val="24"/>
                <w:szCs w:val="22"/>
              </w:rPr>
              <w:t>建筑设计要求</w:t>
            </w:r>
          </w:p>
        </w:tc>
        <w:tc>
          <w:tcPr>
            <w:tcW w:w="8191" w:type="dxa"/>
            <w:noWrap w:val="0"/>
            <w:vAlign w:val="center"/>
          </w:tcPr>
          <w:p w14:paraId="2BEECCEB">
            <w:r>
              <w:rPr>
                <w:rFonts w:hint="eastAsia" w:ascii="宋体" w:hAnsi="宋体" w:cs="宋体"/>
                <w:sz w:val="24"/>
                <w:szCs w:val="24"/>
              </w:rPr>
              <w:t>建筑风格与周边环境相协调。</w:t>
            </w:r>
          </w:p>
        </w:tc>
      </w:tr>
    </w:tbl>
    <w:p w14:paraId="0F74368B">
      <w:pPr>
        <w:spacing w:line="400" w:lineRule="exact"/>
        <w:ind w:left="-3" w:hanging="837"/>
      </w:pPr>
      <w:r>
        <w:rPr>
          <w:rFonts w:hint="eastAsia" w:ascii="仿宋" w:hAnsi="仿宋" w:eastAsia="仿宋"/>
          <w:b/>
          <w:sz w:val="28"/>
        </w:rPr>
        <w:t>九、配套设施</w:t>
      </w:r>
    </w:p>
    <w:tbl>
      <w:tblPr>
        <w:tblStyle w:val="19"/>
        <w:tblW w:w="10070" w:type="dxa"/>
        <w:tblInd w:w="-81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380"/>
        <w:gridCol w:w="8155"/>
      </w:tblGrid>
      <w:tr w14:paraId="626E99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535" w:type="dxa"/>
            <w:noWrap w:val="0"/>
            <w:vAlign w:val="center"/>
          </w:tcPr>
          <w:p w14:paraId="578AE174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1380" w:type="dxa"/>
            <w:noWrap w:val="0"/>
            <w:vAlign w:val="center"/>
          </w:tcPr>
          <w:p w14:paraId="23BC6442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基础设施</w:t>
            </w:r>
          </w:p>
        </w:tc>
        <w:tc>
          <w:tcPr>
            <w:tcW w:w="8155" w:type="dxa"/>
            <w:noWrap w:val="0"/>
            <w:vAlign w:val="center"/>
          </w:tcPr>
          <w:p w14:paraId="5ED7DDEA">
            <w:r>
              <w:rPr>
                <w:rFonts w:hint="eastAsia" w:ascii="宋体" w:hAnsi="宋体" w:cs="宋体"/>
                <w:sz w:val="24"/>
                <w:szCs w:val="24"/>
              </w:rPr>
              <w:t>地块内市政管线要求地埋。雨污采用分流制，接入城市道路市政管网。</w:t>
            </w:r>
          </w:p>
        </w:tc>
      </w:tr>
      <w:tr w14:paraId="2ED15E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535" w:type="dxa"/>
            <w:noWrap w:val="0"/>
            <w:vAlign w:val="center"/>
          </w:tcPr>
          <w:p w14:paraId="51CC5D37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1380" w:type="dxa"/>
            <w:noWrap w:val="0"/>
            <w:vAlign w:val="center"/>
          </w:tcPr>
          <w:p w14:paraId="26C568E8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公共服务设施</w:t>
            </w:r>
          </w:p>
        </w:tc>
        <w:tc>
          <w:tcPr>
            <w:tcW w:w="8155" w:type="dxa"/>
            <w:noWrap w:val="0"/>
            <w:vAlign w:val="center"/>
          </w:tcPr>
          <w:p w14:paraId="74273CBF">
            <w:r>
              <w:rPr>
                <w:rFonts w:hint="eastAsia" w:ascii="宋体" w:hAnsi="宋体" w:cs="宋体"/>
                <w:sz w:val="24"/>
                <w:szCs w:val="24"/>
              </w:rPr>
              <w:t>地块内各种配套服务设施应同步设计、同步建设、同步验收、同步交付使用。</w:t>
            </w:r>
          </w:p>
        </w:tc>
      </w:tr>
      <w:tr w14:paraId="5F8C32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5" w:type="dxa"/>
            <w:noWrap w:val="0"/>
            <w:vAlign w:val="center"/>
          </w:tcPr>
          <w:p w14:paraId="4A0FBDA9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</w:p>
        </w:tc>
        <w:tc>
          <w:tcPr>
            <w:tcW w:w="1380" w:type="dxa"/>
            <w:noWrap w:val="0"/>
            <w:vAlign w:val="center"/>
          </w:tcPr>
          <w:p w14:paraId="0BCADE83"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代建设施及其他要求</w:t>
            </w:r>
          </w:p>
        </w:tc>
        <w:tc>
          <w:tcPr>
            <w:tcW w:w="8155" w:type="dxa"/>
            <w:noWrap w:val="0"/>
            <w:vAlign w:val="center"/>
          </w:tcPr>
          <w:p w14:paraId="2359C15D">
            <w:r>
              <w:rPr>
                <w:rFonts w:hint="eastAsia" w:ascii="宋体" w:hAnsi="宋体" w:cs="宋体"/>
                <w:sz w:val="24"/>
                <w:szCs w:val="24"/>
              </w:rPr>
              <w:t>无。</w:t>
            </w:r>
          </w:p>
        </w:tc>
      </w:tr>
    </w:tbl>
    <w:p w14:paraId="25534749">
      <w:pPr>
        <w:spacing w:line="400" w:lineRule="exact"/>
        <w:ind w:left="-3" w:hanging="837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十、注意事项</w:t>
      </w:r>
    </w:p>
    <w:tbl>
      <w:tblPr>
        <w:tblStyle w:val="20"/>
        <w:tblW w:w="10207" w:type="dxa"/>
        <w:tblInd w:w="-88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7"/>
      </w:tblGrid>
      <w:tr w14:paraId="0C0C0A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10207" w:type="dxa"/>
            <w:noWrap w:val="0"/>
            <w:vAlign w:val="center"/>
          </w:tcPr>
          <w:p w14:paraId="795C4D1B">
            <w:pPr>
              <w:spacing w:line="360" w:lineRule="auto"/>
              <w:ind w:left="34"/>
              <w:jc w:val="left"/>
              <w:rPr>
                <w:rFonts w:ascii="仿宋" w:hAnsi="仿宋" w:eastAsia="仿宋"/>
                <w:b/>
                <w:sz w:val="28"/>
              </w:rPr>
            </w:pPr>
            <w:r>
              <w:rPr>
                <w:rFonts w:ascii="宋体" w:hAnsi="宋体" w:cs="宋体"/>
                <w:sz w:val="24"/>
                <w:szCs w:val="24"/>
              </w:rPr>
              <w:t>1  规划条件是国有土地使用权转让、建设工程方案设计审查的重要依据，并纳入出让合同或划拨决定书后生效。</w:t>
            </w:r>
            <w:r>
              <w:rPr>
                <w:rFonts w:ascii="宋体" w:hAnsi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cs="宋体"/>
                <w:sz w:val="24"/>
                <w:szCs w:val="24"/>
              </w:rPr>
              <w:t>2  建筑面积的计算按浙江省工程建设标准《建筑工程建筑面积计算和竣工综合测量技术规程》（编号DB33/T1152-20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25</w:t>
            </w:r>
            <w:r>
              <w:rPr>
                <w:rFonts w:ascii="宋体" w:hAnsi="宋体" w:cs="宋体"/>
                <w:sz w:val="24"/>
                <w:szCs w:val="24"/>
              </w:rPr>
              <w:t>）及相关规范标准等执行。</w:t>
            </w:r>
            <w:r>
              <w:rPr>
                <w:rFonts w:ascii="宋体" w:hAnsi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cs="宋体"/>
                <w:sz w:val="24"/>
                <w:szCs w:val="24"/>
              </w:rPr>
              <w:t>3  本规划条件所列地块经济技术指标均按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总</w:t>
            </w:r>
            <w:r>
              <w:rPr>
                <w:rFonts w:ascii="宋体" w:hAnsi="宋体" w:cs="宋体"/>
                <w:sz w:val="24"/>
                <w:szCs w:val="24"/>
              </w:rPr>
              <w:t>用地面积计算，容积率计算按东阳市城市规划管理技术规定及相关补充规定执行，由于开发模式、布局等因素影响，可能造成方案设计中相应指标达不到给定的上限，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土地受让</w:t>
            </w:r>
            <w:r>
              <w:rPr>
                <w:rFonts w:ascii="宋体" w:hAnsi="宋体" w:cs="宋体"/>
                <w:sz w:val="24"/>
                <w:szCs w:val="24"/>
              </w:rPr>
              <w:t xml:space="preserve">单位在做项目经济测算时应予以充分考虑。　　　 </w:t>
            </w:r>
            <w:r>
              <w:rPr>
                <w:rFonts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hAnsi="宋体" w:cs="宋体"/>
                <w:sz w:val="24"/>
                <w:szCs w:val="24"/>
              </w:rPr>
              <w:t xml:space="preserve">  本规划条件附图共2张，包括用地红线图、竖向界限图。</w:t>
            </w:r>
            <w:r>
              <w:rPr>
                <w:rFonts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cs="宋体"/>
                <w:sz w:val="24"/>
                <w:szCs w:val="24"/>
              </w:rPr>
              <w:t xml:space="preserve">  地块内涉及教育、消防、人防、水务、环保、气象、市政、节能、文物古迹、园林、绿色建筑、海绵城市、地下管线综合、垃圾分类(收集)投放、卫生、交通、文化设施等问题，由相关行政主管部门负责解释并监督实施。</w:t>
            </w:r>
            <w:r>
              <w:rPr>
                <w:rFonts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hAnsi="宋体" w:cs="宋体"/>
                <w:sz w:val="24"/>
                <w:szCs w:val="24"/>
              </w:rPr>
              <w:t xml:space="preserve">  城市基础设施配套费按相关规定收取。</w:t>
            </w:r>
            <w:r>
              <w:rPr>
                <w:rFonts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ascii="宋体" w:hAnsi="宋体" w:cs="宋体"/>
                <w:sz w:val="24"/>
                <w:szCs w:val="24"/>
              </w:rPr>
              <w:t xml:space="preserve">  其他未尽事宜应遵守国家、地方政府和有关部门的相关政策和规定。</w:t>
            </w:r>
            <w:r>
              <w:rPr>
                <w:rFonts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ascii="宋体" w:hAnsi="宋体" w:cs="宋体"/>
                <w:sz w:val="24"/>
                <w:szCs w:val="24"/>
              </w:rPr>
              <w:t xml:space="preserve">  本规划条件最终解释权归东阳市自然资源和规划局。</w:t>
            </w:r>
            <w:r>
              <w:rPr>
                <w:rFonts w:hint="eastAsia" w:ascii="宋体" w:hAnsi="宋体" w:cs="宋体"/>
                <w:sz w:val="24"/>
                <w:szCs w:val="24"/>
              </w:rPr>
              <w:br w:type="textWrapping"/>
            </w:r>
          </w:p>
        </w:tc>
      </w:tr>
    </w:tbl>
    <w:p w14:paraId="4618902C">
      <w:pPr>
        <w:spacing w:line="400" w:lineRule="exact"/>
        <w:ind w:left="-3" w:hanging="837"/>
        <w:rPr>
          <w:rFonts w:ascii="仿宋" w:hAnsi="仿宋" w:eastAsia="仿宋"/>
          <w:b/>
          <w:sz w:val="28"/>
        </w:rPr>
      </w:pPr>
    </w:p>
    <w:p w14:paraId="5B9BE4A7">
      <w:pPr>
        <w:jc w:val="right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 xml:space="preserve"> </w:t>
      </w:r>
    </w:p>
    <w:p w14:paraId="5305757B">
      <w:pPr>
        <w:jc w:val="right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color w:val="FFFFFF" w:themeColor="background1"/>
          <w:sz w:val="30"/>
          <w14:textFill>
            <w14:solidFill>
              <w14:schemeClr w14:val="bg1"/>
            </w14:solidFill>
          </w14:textFill>
        </w:rPr>
        <w:t>A</w:t>
      </w:r>
      <w:r>
        <w:rPr>
          <w:rFonts w:ascii="仿宋_GB2312" w:eastAsia="仿宋_GB2312"/>
          <w:color w:val="FFFFFF" w:themeColor="background1"/>
          <w:sz w:val="30"/>
          <w14:textFill>
            <w14:solidFill>
              <w14:schemeClr w14:val="bg1"/>
            </w14:solidFill>
          </w14:textFill>
        </w:rPr>
        <w:t>A</w:t>
      </w:r>
      <w:r>
        <w:rPr>
          <w:rFonts w:hint="eastAsia" w:ascii="仿宋_GB2312" w:eastAsia="仿宋_GB2312"/>
          <w:sz w:val="30"/>
        </w:rPr>
        <w:t>东阳市自然资源和规划局</w:t>
      </w:r>
    </w:p>
    <w:p w14:paraId="45104917">
      <w:pPr>
        <w:spacing w:line="48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asciiTheme="minorEastAsia" w:hAnsiTheme="minorEastAsia" w:eastAsiaTheme="minorEastAsia"/>
          <w:sz w:val="24"/>
          <w:szCs w:val="24"/>
        </w:rPr>
        <w:fldChar w:fldCharType="begin"/>
      </w:r>
      <w:r>
        <w:rPr>
          <w:rFonts w:asciiTheme="minorEastAsia" w:hAnsiTheme="minorEastAsia" w:eastAsiaTheme="minorEastAsia"/>
          <w:sz w:val="24"/>
          <w:szCs w:val="24"/>
        </w:rPr>
        <w:instrText xml:space="preserve"> MERGEFIELD  tSJ_LandValidTime  \* MERGEFORMAT </w:instrText>
      </w:r>
      <w:r>
        <w:rPr>
          <w:rFonts w:asciiTheme="minorEastAsia" w:hAnsiTheme="minorEastAsia" w:eastAsiaTheme="minorEastAsia"/>
          <w:sz w:val="24"/>
          <w:szCs w:val="24"/>
        </w:rPr>
        <w:fldChar w:fldCharType="separate"/>
      </w:r>
      <w:r>
        <w:rPr>
          <w:rFonts w:asciiTheme="minorEastAsia" w:hAnsiTheme="minorEastAsia" w:eastAsia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    </w:t>
      </w:r>
    </w:p>
    <w:p w14:paraId="03003894"/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OWUzMDljOGJmMjAxNDRjYjVlMWJiMmM2NjljYjAifQ=="/>
  </w:docVars>
  <w:rsids>
    <w:rsidRoot w:val="00000000"/>
    <w:rsid w:val="0DB1E15C"/>
    <w:rsid w:val="69FF2A49"/>
    <w:rsid w:val="7FDE0657"/>
    <w:rsid w:val="7FFF0861"/>
    <w:rsid w:val="DBFF1956"/>
    <w:rsid w:val="FFF79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Calibri" w:hAnsi="Calibri" w:eastAsia="宋体" w:cs="Times New Roman"/>
      <w:sz w:val="21"/>
      <w:szCs w:val="20"/>
    </w:rPr>
  </w:style>
  <w:style w:type="paragraph" w:styleId="2">
    <w:name w:val="heading 1"/>
    <w:basedOn w:val="1"/>
    <w:next w:val="1"/>
    <w:link w:val="153"/>
    <w:qFormat/>
    <w:uiPriority w:val="9"/>
    <w:pPr>
      <w:keepNext/>
      <w:keepLines/>
      <w:spacing w:before="360" w:after="80"/>
      <w:outlineLvl w:val="0"/>
    </w:pPr>
    <w:rPr>
      <w:rFonts w:ascii="Arial" w:hAnsi="Arial" w:eastAsia="Arial" w:cs="Arial"/>
      <w:color w:val="2E75B6" w:themeColor="accent1" w:themeShade="BF"/>
      <w:sz w:val="40"/>
      <w:szCs w:val="40"/>
    </w:rPr>
  </w:style>
  <w:style w:type="paragraph" w:styleId="3">
    <w:name w:val="heading 2"/>
    <w:basedOn w:val="1"/>
    <w:next w:val="1"/>
    <w:link w:val="154"/>
    <w:unhideWhenUsed/>
    <w:qFormat/>
    <w:uiPriority w:val="9"/>
    <w:pPr>
      <w:keepNext/>
      <w:keepLines/>
      <w:spacing w:before="160" w:after="80"/>
      <w:outlineLvl w:val="1"/>
    </w:pPr>
    <w:rPr>
      <w:rFonts w:ascii="Arial" w:hAnsi="Arial" w:eastAsia="Arial" w:cs="Arial"/>
      <w:color w:val="2E75B6" w:themeColor="accent1" w:themeShade="BF"/>
      <w:sz w:val="32"/>
      <w:szCs w:val="32"/>
    </w:rPr>
  </w:style>
  <w:style w:type="paragraph" w:styleId="4">
    <w:name w:val="heading 3"/>
    <w:basedOn w:val="1"/>
    <w:next w:val="1"/>
    <w:link w:val="155"/>
    <w:unhideWhenUsed/>
    <w:qFormat/>
    <w:uiPriority w:val="9"/>
    <w:pPr>
      <w:keepNext/>
      <w:keepLines/>
      <w:spacing w:before="160" w:after="80"/>
      <w:outlineLvl w:val="2"/>
    </w:pPr>
    <w:rPr>
      <w:rFonts w:ascii="Arial" w:hAnsi="Arial" w:eastAsia="Arial" w:cs="Arial"/>
      <w:color w:val="2E75B6" w:themeColor="accent1" w:themeShade="BF"/>
      <w:sz w:val="28"/>
      <w:szCs w:val="28"/>
    </w:rPr>
  </w:style>
  <w:style w:type="paragraph" w:styleId="5">
    <w:name w:val="heading 4"/>
    <w:basedOn w:val="1"/>
    <w:next w:val="1"/>
    <w:link w:val="156"/>
    <w:unhideWhenUsed/>
    <w:qFormat/>
    <w:uiPriority w:val="9"/>
    <w:pPr>
      <w:keepNext/>
      <w:keepLines/>
      <w:spacing w:before="80" w:after="40"/>
      <w:outlineLvl w:val="3"/>
    </w:pPr>
    <w:rPr>
      <w:rFonts w:ascii="Arial" w:hAnsi="Arial" w:eastAsia="Arial" w:cs="Arial"/>
      <w:i/>
      <w:iCs/>
      <w:color w:val="2E75B6" w:themeColor="accent1" w:themeShade="BF"/>
    </w:rPr>
  </w:style>
  <w:style w:type="paragraph" w:styleId="6">
    <w:name w:val="heading 5"/>
    <w:basedOn w:val="1"/>
    <w:next w:val="1"/>
    <w:link w:val="157"/>
    <w:unhideWhenUsed/>
    <w:qFormat/>
    <w:uiPriority w:val="9"/>
    <w:pPr>
      <w:keepNext/>
      <w:keepLines/>
      <w:spacing w:before="80" w:after="40"/>
      <w:outlineLvl w:val="4"/>
    </w:pPr>
    <w:rPr>
      <w:rFonts w:ascii="Arial" w:hAnsi="Arial" w:eastAsia="Arial" w:cs="Arial"/>
      <w:color w:val="2E75B6" w:themeColor="accent1" w:themeShade="BF"/>
    </w:rPr>
  </w:style>
  <w:style w:type="paragraph" w:styleId="7">
    <w:name w:val="heading 6"/>
    <w:basedOn w:val="1"/>
    <w:next w:val="1"/>
    <w:link w:val="158"/>
    <w:unhideWhenUsed/>
    <w:qFormat/>
    <w:uiPriority w:val="9"/>
    <w:pPr>
      <w:keepNext/>
      <w:keepLines/>
      <w:spacing w:before="40" w:after="0"/>
      <w:outlineLvl w:val="5"/>
    </w:pPr>
    <w:rPr>
      <w:rFonts w:ascii="Arial" w:hAnsi="Arial" w:eastAsia="Arial" w:cs="Arial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159"/>
    <w:unhideWhenUsed/>
    <w:qFormat/>
    <w:uiPriority w:val="9"/>
    <w:pPr>
      <w:keepNext/>
      <w:keepLines/>
      <w:spacing w:before="40" w:after="0"/>
      <w:outlineLvl w:val="6"/>
    </w:pPr>
    <w:rPr>
      <w:rFonts w:ascii="Arial" w:hAnsi="Arial" w:eastAsia="Arial" w:cs="Arial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160"/>
    <w:unhideWhenUsed/>
    <w:qFormat/>
    <w:uiPriority w:val="9"/>
    <w:pPr>
      <w:keepNext/>
      <w:keepLines/>
      <w:spacing w:after="0"/>
      <w:outlineLvl w:val="7"/>
    </w:pPr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161"/>
    <w:unhideWhenUsed/>
    <w:qFormat/>
    <w:uiPriority w:val="9"/>
    <w:pPr>
      <w:keepNext/>
      <w:keepLines/>
      <w:spacing w:after="0"/>
      <w:outlineLvl w:val="8"/>
    </w:pPr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caption"/>
    <w:basedOn w:val="1"/>
    <w:next w:val="1"/>
    <w:unhideWhenUsed/>
    <w:qFormat/>
    <w:uiPriority w:val="35"/>
    <w:pPr>
      <w:spacing w:after="200" w:line="240" w:lineRule="auto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12">
    <w:name w:val="endnote text"/>
    <w:basedOn w:val="1"/>
    <w:link w:val="178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3">
    <w:name w:val="footer"/>
    <w:basedOn w:val="1"/>
    <w:link w:val="181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4">
    <w:name w:val="header"/>
    <w:basedOn w:val="1"/>
    <w:link w:val="180"/>
    <w:unhideWhenUsed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163"/>
    <w:qFormat/>
    <w:uiPriority w:val="11"/>
    <w:rPr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footnote text"/>
    <w:basedOn w:val="1"/>
    <w:link w:val="177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7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18">
    <w:name w:val="Title"/>
    <w:basedOn w:val="1"/>
    <w:next w:val="1"/>
    <w:link w:val="162"/>
    <w:qFormat/>
    <w:uiPriority w:val="10"/>
    <w:pPr>
      <w:spacing w:after="80" w:line="240" w:lineRule="auto"/>
      <w:contextualSpacing/>
    </w:pPr>
    <w:rPr>
      <w:rFonts w:ascii="Arial" w:hAnsi="Arial" w:eastAsia="Arial" w:cs="Arial"/>
      <w:spacing w:val="-10"/>
      <w:sz w:val="56"/>
      <w:szCs w:val="56"/>
    </w:rPr>
  </w:style>
  <w:style w:type="table" w:styleId="20">
    <w:name w:val="Table Grid"/>
    <w:basedOn w:val="19"/>
    <w:qFormat/>
    <w:uiPriority w:val="0"/>
    <w:rPr>
      <w:rFonts w:ascii="Calibri" w:hAnsi="Calibri" w:eastAsia="宋体" w:cs="Times New Roman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22">
    <w:name w:val="Strong"/>
    <w:basedOn w:val="21"/>
    <w:qFormat/>
    <w:uiPriority w:val="22"/>
    <w:rPr>
      <w:b/>
      <w:bCs/>
    </w:rPr>
  </w:style>
  <w:style w:type="character" w:styleId="23">
    <w:name w:val="endnote reference"/>
    <w:basedOn w:val="21"/>
    <w:semiHidden/>
    <w:unhideWhenUsed/>
    <w:qFormat/>
    <w:uiPriority w:val="99"/>
    <w:rPr>
      <w:vertAlign w:val="superscript"/>
    </w:rPr>
  </w:style>
  <w:style w:type="character" w:styleId="24">
    <w:name w:val="FollowedHyperlink"/>
    <w:basedOn w:val="21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5">
    <w:name w:val="Emphasis"/>
    <w:basedOn w:val="21"/>
    <w:qFormat/>
    <w:uiPriority w:val="20"/>
    <w:rPr>
      <w:i/>
      <w:iCs/>
    </w:rPr>
  </w:style>
  <w:style w:type="character" w:styleId="26">
    <w:name w:val="Hyperlink"/>
    <w:basedOn w:val="2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7">
    <w:name w:val="footnote reference"/>
    <w:basedOn w:val="21"/>
    <w:semiHidden/>
    <w:unhideWhenUsed/>
    <w:qFormat/>
    <w:uiPriority w:val="99"/>
    <w:rPr>
      <w:vertAlign w:val="superscript"/>
    </w:rPr>
  </w:style>
  <w:style w:type="table" w:customStyle="1" w:styleId="28">
    <w:name w:val="Table Grid Light"/>
    <w:basedOn w:val="19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29">
    <w:name w:val="Plain Table 1"/>
    <w:basedOn w:val="19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0">
    <w:name w:val="Plain Table 2"/>
    <w:basedOn w:val="19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1">
    <w:name w:val="Plain Table 3"/>
    <w:basedOn w:val="19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2">
    <w:name w:val="Plain Table 4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3">
    <w:name w:val="Plain Table 5"/>
    <w:basedOn w:val="19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4">
    <w:name w:val="Grid Table 1 Light"/>
    <w:basedOn w:val="19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5">
    <w:name w:val="Grid Table 1 Light - Accent 1"/>
    <w:basedOn w:val="19"/>
    <w:qFormat/>
    <w:uiPriority w:val="99"/>
    <w:pPr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6">
    <w:name w:val="Grid Table 1 Light - Accent 2"/>
    <w:basedOn w:val="19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7">
    <w:name w:val="Grid Table 1 Light - Accent 3"/>
    <w:basedOn w:val="19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8">
    <w:name w:val="Grid Table 1 Light - Accent 4"/>
    <w:basedOn w:val="19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39">
    <w:name w:val="Grid Table 1 Light - Accent 5"/>
    <w:basedOn w:val="19"/>
    <w:qFormat/>
    <w:uiPriority w:val="99"/>
    <w:pPr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0">
    <w:name w:val="Grid Table 1 Light - Accent 6"/>
    <w:basedOn w:val="19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1">
    <w:name w:val="Grid Table 2"/>
    <w:basedOn w:val="19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2">
    <w:name w:val="Grid Table 2 - Accent 1"/>
    <w:basedOn w:val="19"/>
    <w:qFormat/>
    <w:uiPriority w:val="99"/>
    <w:pPr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8A3D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3">
    <w:name w:val="Grid Table 2 - Accent 2"/>
    <w:basedOn w:val="1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4">
    <w:name w:val="Grid Table 2 - Accent 3"/>
    <w:basedOn w:val="1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5">
    <w:name w:val="Grid Table 2 - Accent 4"/>
    <w:basedOn w:val="1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6">
    <w:name w:val="Grid Table 2 - Accent 5"/>
    <w:basedOn w:val="19"/>
    <w:qFormat/>
    <w:uiPriority w:val="99"/>
    <w:pPr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7">
    <w:name w:val="Grid Table 2 - Accent 6"/>
    <w:basedOn w:val="19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8">
    <w:name w:val="Grid Table 3"/>
    <w:basedOn w:val="19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49">
    <w:name w:val="Grid Table 3 - Accent 1"/>
    <w:basedOn w:val="19"/>
    <w:qFormat/>
    <w:uiPriority w:val="99"/>
    <w:pPr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0">
    <w:name w:val="Grid Table 3 - Accent 2"/>
    <w:basedOn w:val="1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1">
    <w:name w:val="Grid Table 3 - Accent 3"/>
    <w:basedOn w:val="1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2">
    <w:name w:val="Grid Table 3 - Accent 4"/>
    <w:basedOn w:val="1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3">
    <w:name w:val="Grid Table 3 - Accent 5"/>
    <w:basedOn w:val="19"/>
    <w:qFormat/>
    <w:uiPriority w:val="99"/>
    <w:pPr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4">
    <w:name w:val="Grid Table 3 - Accent 6"/>
    <w:basedOn w:val="19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5">
    <w:name w:val="Grid Table 4"/>
    <w:basedOn w:val="19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Grid Table 4 - Accent 1"/>
    <w:basedOn w:val="19"/>
    <w:qFormat/>
    <w:uiPriority w:val="59"/>
    <w:pPr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68A3D8" w:themeColor="accent1" w:themeTint="EA" w:sz="4" w:space="0"/>
          <w:left w:val="single" w:color="68A3D8" w:themeColor="accent1" w:themeTint="EA" w:sz="4" w:space="0"/>
          <w:bottom w:val="single" w:color="68A3D8" w:themeColor="accent1" w:themeTint="EA" w:sz="4" w:space="0"/>
          <w:right w:val="single" w:color="68A3D8" w:themeColor="accent1" w:themeTint="EA" w:sz="4" w:space="0"/>
        </w:tcBorders>
        <w:shd w:val="clear" w:color="68A3D8" w:themeColor="accent1" w:themeTint="EA" w:fill="68A3D8" w:themeFill="accent1" w:themeFillTint="EA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Grid Table 4 - Accent 2"/>
    <w:basedOn w:val="19"/>
    <w:qFormat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Grid Table 4 - Accent 3"/>
    <w:basedOn w:val="19"/>
    <w:qFormat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Grid Table 4 - Accent 4"/>
    <w:basedOn w:val="19"/>
    <w:qFormat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4 - Accent 5"/>
    <w:basedOn w:val="19"/>
    <w:qFormat/>
    <w:uiPriority w:val="59"/>
    <w:pPr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4 - Accent 6"/>
    <w:basedOn w:val="19"/>
    <w:qFormat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5 Dark"/>
    <w:basedOn w:val="1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5 Dark- Accent 1"/>
    <w:basedOn w:val="1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band1Vert">
      <w:tcPr>
        <w:shd w:val="clear" w:color="B3D1EB" w:themeColor="accent1" w:themeTint="75" w:fill="B3D1EB" w:themeFill="accent1" w:themeFillTint="75"/>
      </w:tcPr>
    </w:tblStylePr>
    <w:tblStylePr w:type="band2Vert"/>
    <w:tblStylePr w:type="band1Horz">
      <w:tcPr>
        <w:shd w:val="clear" w:color="B3D1EB" w:themeColor="accent1" w:themeTint="75" w:fill="B3D1EB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5 Dark - Accent 2"/>
    <w:basedOn w:val="1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2Vert"/>
    <w:tblStylePr w:type="band1Horz">
      <w:tcPr>
        <w:shd w:val="clear" w:color="F6C3A0" w:themeColor="accent2" w:themeTint="75" w:fill="F6C3A0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5 Dark - Accent 3"/>
    <w:basedOn w:val="1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2Vert"/>
    <w:tblStylePr w:type="band1Horz">
      <w:tcPr>
        <w:shd w:val="clear" w:color="D5D5D5" w:themeColor="accent3" w:themeTint="75" w:fill="D5D5D5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5 Dark- Accent 4"/>
    <w:basedOn w:val="1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2Vert"/>
    <w:tblStylePr w:type="band1Horz">
      <w:tcPr>
        <w:shd w:val="clear" w:color="FEE289" w:themeColor="accent4" w:themeTint="75" w:fill="FEE289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5 Dark - Accent 5"/>
    <w:basedOn w:val="1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band1Vert">
      <w:tcPr>
        <w:shd w:val="clear" w:color="A9BEE3" w:themeColor="accent5" w:themeTint="75" w:fill="A9BEE3" w:themeFill="accent5" w:themeFillTint="75"/>
      </w:tcPr>
    </w:tblStylePr>
    <w:tblStylePr w:type="band2Vert"/>
    <w:tblStylePr w:type="band1Horz">
      <w:tcPr>
        <w:shd w:val="clear" w:color="A9BEE3" w:themeColor="accent5" w:themeTint="75" w:fill="A9BEE3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5 Dark - Accent 6"/>
    <w:basedOn w:val="1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2Vert"/>
    <w:tblStylePr w:type="band1Horz">
      <w:tcPr>
        <w:shd w:val="clear" w:color="BCDBA8" w:themeColor="accent6" w:themeTint="75" w:fill="BCDBA8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6 Colorful"/>
    <w:basedOn w:val="19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0">
    <w:name w:val="Grid Table 6 Colorful - Accent 1"/>
    <w:basedOn w:val="19"/>
    <w:qFormat/>
    <w:uiPriority w:val="99"/>
    <w:pPr>
      <w:spacing w:after="0" w:line="240" w:lineRule="auto"/>
    </w:pPr>
    <w:tblPr>
      <w:tblBorders>
        <w:top w:val="single" w:color="ACCCE9" w:themeColor="accent1" w:themeTint="80" w:sz="4" w:space="0"/>
        <w:left w:val="single" w:color="ACCCE9" w:themeColor="accent1" w:themeTint="80" w:sz="4" w:space="0"/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CCCE9" w:themeColor="accent1" w:themeTint="80" w:sz="12" w:space="0"/>
        </w:tcBorders>
      </w:tcPr>
    </w:tblStylePr>
    <w:tblStylePr w:type="la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Vert"/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1">
    <w:name w:val="Grid Table 6 Colorful - Accent 2"/>
    <w:basedOn w:val="1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2">
    <w:name w:val="Grid Table 6 Colorful - Accent 3"/>
    <w:basedOn w:val="19"/>
    <w:qFormat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Vert"/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3">
    <w:name w:val="Grid Table 6 Colorful - Accent 4"/>
    <w:basedOn w:val="1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4">
    <w:name w:val="Grid Table 6 Colorful - Accent 5"/>
    <w:basedOn w:val="19"/>
    <w:qFormat/>
    <w:uiPriority w:val="99"/>
    <w:pPr>
      <w:spacing w:after="0" w:line="240" w:lineRule="auto"/>
    </w:pPr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4472C4" w:themeColor="accent5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2Vert"/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75">
    <w:name w:val="Grid Table 6 Colorful - Accent 6"/>
    <w:basedOn w:val="19"/>
    <w:qFormat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Vert"/>
    <w:tblStylePr w:type="band1Horz">
      <w:rPr>
        <w:rFonts w:ascii="Arial" w:hAnsi="Arial"/>
        <w:color w:val="254174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76">
    <w:name w:val="Grid Table 7 Colorful"/>
    <w:basedOn w:val="19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7">
    <w:name w:val="Grid Table 7 Colorful - Accent 1"/>
    <w:basedOn w:val="19"/>
    <w:qFormat/>
    <w:uiPriority w:val="99"/>
    <w:pPr>
      <w:spacing w:after="0" w:line="240" w:lineRule="auto"/>
    </w:pPr>
    <w:tblPr>
      <w:tblBorders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CCCE9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CCCE9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CCCE9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CCCE9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Vert"/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8">
    <w:name w:val="Grid Table 7 Colorful - Accent 2"/>
    <w:basedOn w:val="1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79">
    <w:name w:val="Grid Table 7 Colorful - Accent 3"/>
    <w:basedOn w:val="1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Vert"/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80">
    <w:name w:val="Grid Table 7 Colorful - Accent 4"/>
    <w:basedOn w:val="1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81">
    <w:name w:val="Grid Table 7 Colorful - Accent 5"/>
    <w:basedOn w:val="19"/>
    <w:qFormat/>
    <w:uiPriority w:val="99"/>
    <w:pPr>
      <w:spacing w:after="0" w:line="240" w:lineRule="auto"/>
    </w:pPr>
    <w:tblPr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254174" w:themeColor="accent5" w:themeShade="94"/>
        <w:sz w:val="22"/>
      </w:rPr>
      <w:tcPr>
        <w:tcBorders>
          <w:top w:val="nil"/>
          <w:left w:val="nil"/>
          <w:bottom w:val="single" w:color="95AFDD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4" w:themeColor="accent5" w:themeShade="94"/>
        <w:sz w:val="22"/>
      </w:rPr>
      <w:tcPr>
        <w:tcBorders>
          <w:top w:val="single" w:color="95AFDD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nil"/>
          <w:bottom w:val="nil"/>
          <w:right w:val="single" w:color="95AFDD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single" w:color="95AFDD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2Vert"/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82">
    <w:name w:val="Grid Table 7 Colorful - Accent 6"/>
    <w:basedOn w:val="19"/>
    <w:qFormat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Vert"/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83">
    <w:name w:val="List Table 1 Light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List Table 1 Light - Accent 1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Vert"/>
    <w:tblStylePr w:type="band1Horz">
      <w:tcPr>
        <w:shd w:val="clear" w:color="D5E5F4" w:themeColor="accent1" w:themeTint="40" w:fill="D5E5F4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List Table 1 Light - Accent 2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Vert"/>
    <w:tblStylePr w:type="band1Horz">
      <w:tcPr>
        <w:shd w:val="clear" w:color="FADECB" w:themeColor="accent2" w:themeTint="40" w:fill="FADECB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List Table 1 Light - Accent 3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Vert"/>
    <w:tblStylePr w:type="band1Horz">
      <w:tcPr>
        <w:shd w:val="clear" w:color="E8E8E8" w:themeColor="accent3" w:themeTint="40" w:fill="E8E8E8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List Table 1 Light - Accent 4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2Vert"/>
    <w:tblStylePr w:type="band1Horz">
      <w:tcPr>
        <w:shd w:val="clear" w:color="FFEFBE" w:themeColor="accent4" w:themeTint="40" w:fill="FFEFBE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List Table 1 Light - Accent 5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2Vert"/>
    <w:tblStylePr w:type="band1Horz">
      <w:tcPr>
        <w:shd w:val="clear" w:color="D0DBF0" w:themeColor="accent5" w:themeTint="40" w:fill="D0DB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List Table 1 Light - Accent 6"/>
    <w:basedOn w:val="1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Vert"/>
    <w:tblStylePr w:type="band1Horz">
      <w:tcPr>
        <w:shd w:val="clear" w:color="DAEBCF" w:themeColor="accent6" w:themeTint="40" w:fill="DAEBCF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List Table 2"/>
    <w:basedOn w:val="19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List Table 2 - Accent 1"/>
    <w:basedOn w:val="19"/>
    <w:qFormat/>
    <w:uiPriority w:val="99"/>
    <w:pPr>
      <w:spacing w:after="0" w:line="240" w:lineRule="auto"/>
    </w:pPr>
    <w:tblPr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List Table 2 - Accent 2"/>
    <w:basedOn w:val="19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List Table 2 - Accent 3"/>
    <w:basedOn w:val="19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List Table 2 - Accent 4"/>
    <w:basedOn w:val="19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List Table 2 - Accent 5"/>
    <w:basedOn w:val="19"/>
    <w:qFormat/>
    <w:uiPriority w:val="99"/>
    <w:pPr>
      <w:spacing w:after="0" w:line="240" w:lineRule="auto"/>
    </w:pPr>
    <w:tblPr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List Table 2 - Accent 6"/>
    <w:basedOn w:val="19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7">
    <w:name w:val="List Table 3"/>
    <w:basedOn w:val="19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8">
    <w:name w:val="List Table 3 - Accent 1"/>
    <w:basedOn w:val="19"/>
    <w:qFormat/>
    <w:uiPriority w:val="99"/>
    <w:pPr>
      <w:spacing w:after="0" w:line="240" w:lineRule="auto"/>
    </w:pPr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9">
    <w:name w:val="List Table 3 - Accent 2"/>
    <w:basedOn w:val="1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0">
    <w:name w:val="List Table 3 - Accent 3"/>
    <w:basedOn w:val="19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1">
    <w:name w:val="List Table 3 - Accent 4"/>
    <w:basedOn w:val="1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2">
    <w:name w:val="List Table 3 - Accent 5"/>
    <w:basedOn w:val="19"/>
    <w:qFormat/>
    <w:uiPriority w:val="99"/>
    <w:pPr>
      <w:spacing w:after="0" w:line="240" w:lineRule="auto"/>
    </w:pPr>
    <w:tblPr>
      <w:tblBorders>
        <w:top w:val="single" w:color="8EA9DB" w:themeColor="accent5" w:themeTint="9A" w:sz="4" w:space="0"/>
        <w:left w:val="single" w:color="8EA9DB" w:themeColor="accent5" w:themeTint="9A" w:sz="4" w:space="0"/>
        <w:bottom w:val="single" w:color="8EA9DB" w:themeColor="accent5" w:themeTint="9A" w:sz="4" w:space="0"/>
        <w:right w:val="single" w:color="8EA9DB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EA9DB" w:themeColor="accent5" w:themeTint="9A" w:fill="8E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EA9DB" w:themeColor="accent5" w:themeTint="9A" w:sz="4" w:space="0"/>
          <w:right w:val="single" w:color="8EA9DB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8EA9DB" w:themeColor="accent5" w:themeTint="9A" w:sz="4" w:space="0"/>
          <w:bottom w:val="single" w:color="8EA9DB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3">
    <w:name w:val="List Table 3 - Accent 6"/>
    <w:basedOn w:val="19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4">
    <w:name w:val="List Table 4"/>
    <w:basedOn w:val="19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5">
    <w:name w:val="List Table 4 - Accent 1"/>
    <w:basedOn w:val="19"/>
    <w:qFormat/>
    <w:uiPriority w:val="99"/>
    <w:pPr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6">
    <w:name w:val="List Table 4 - Accent 2"/>
    <w:basedOn w:val="19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7">
    <w:name w:val="List Table 4 - Accent 3"/>
    <w:basedOn w:val="19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8">
    <w:name w:val="List Table 4 - Accent 4"/>
    <w:basedOn w:val="19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9">
    <w:name w:val="List Table 4 - Accent 5"/>
    <w:basedOn w:val="19"/>
    <w:qFormat/>
    <w:uiPriority w:val="99"/>
    <w:pPr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4 - Accent 6"/>
    <w:basedOn w:val="19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5 Dark"/>
    <w:basedOn w:val="19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12">
    <w:name w:val="List Table 5 Dark - Accent 1"/>
    <w:basedOn w:val="19"/>
    <w:qFormat/>
    <w:uiPriority w:val="99"/>
    <w:pPr>
      <w:spacing w:after="0" w:line="240" w:lineRule="auto"/>
    </w:pPr>
    <w:tblPr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5B9BD5" w:themeColor="accent1" w:sz="32" w:space="0"/>
          <w:bottom w:val="single" w:color="FFFFFF" w:themeColor="light1" w:sz="12" w:space="0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5B9BD5" w:themeColor="accent1" w:fill="5B9BD5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  <w:tblStylePr w:type="neCell"/>
    <w:tblStylePr w:type="nwCell"/>
    <w:tblStylePr w:type="seCell"/>
    <w:tblStylePr w:type="swCell"/>
  </w:style>
  <w:style w:type="table" w:customStyle="1" w:styleId="113">
    <w:name w:val="List Table 5 Dark - Accent 2"/>
    <w:basedOn w:val="19"/>
    <w:qFormat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14">
    <w:name w:val="List Table 5 Dark - Accent 3"/>
    <w:basedOn w:val="19"/>
    <w:qFormat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15">
    <w:name w:val="List Table 5 Dark - Accent 4"/>
    <w:basedOn w:val="19"/>
    <w:qFormat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16">
    <w:name w:val="List Table 5 Dark - Accent 5"/>
    <w:basedOn w:val="19"/>
    <w:qFormat/>
    <w:uiPriority w:val="99"/>
    <w:pPr>
      <w:spacing w:after="0" w:line="240" w:lineRule="auto"/>
    </w:pPr>
    <w:tblPr>
      <w:tblBorders>
        <w:top w:val="single" w:color="8EA9DB" w:themeColor="accent5" w:themeTint="9A" w:sz="32" w:space="0"/>
        <w:left w:val="single" w:color="8EA9DB" w:themeColor="accent5" w:themeTint="9A" w:sz="32" w:space="0"/>
        <w:bottom w:val="single" w:color="8EA9DB" w:themeColor="accent5" w:themeTint="9A" w:sz="32" w:space="0"/>
        <w:right w:val="single" w:color="8EA9DB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8EA9DB" w:themeColor="accent5" w:themeTint="9A" w:sz="32" w:space="0"/>
          <w:bottom w:val="single" w:color="FFFFFF" w:themeColor="light1" w:sz="12" w:space="0"/>
        </w:tcBorders>
        <w:shd w:val="clear" w:color="8EA9DB" w:themeColor="accent5" w:themeTint="9A" w:fill="8E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8EA9DB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EA9DB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17">
    <w:name w:val="List Table 5 Dark - Accent 6"/>
    <w:basedOn w:val="19"/>
    <w:qFormat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18">
    <w:name w:val="List Table 6 Colorful"/>
    <w:basedOn w:val="19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19">
    <w:name w:val="List Table 6 Colorful - Accent 1"/>
    <w:basedOn w:val="19"/>
    <w:qFormat/>
    <w:uiPriority w:val="99"/>
    <w:pPr>
      <w:spacing w:after="0" w:line="240" w:lineRule="auto"/>
    </w:p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color w:val="245B8C" w:themeColor="accent1" w:themeShade="94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color w:val="245B8C" w:themeColor="accent1" w:themeShade="94"/>
      </w:rPr>
      <w:tcPr>
        <w:tcBorders>
          <w:top w:val="single" w:color="5B9BD5" w:themeColor="accent1" w:sz="4" w:space="0"/>
        </w:tcBorders>
      </w:tcPr>
    </w:tblStylePr>
    <w:tblStylePr w:type="firstCol">
      <w:rPr>
        <w:b/>
        <w:color w:val="245B8C" w:themeColor="accent1" w:themeShade="94"/>
      </w:rPr>
    </w:tblStylePr>
    <w:tblStylePr w:type="lastCol">
      <w:rPr>
        <w:b/>
        <w:color w:val="245B8C" w:themeColor="accent1" w:themeShade="94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Vert"/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20">
    <w:name w:val="List Table 6 Colorful - Accent 2"/>
    <w:basedOn w:val="1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1">
    <w:name w:val="List Table 6 Colorful - Accent 3"/>
    <w:basedOn w:val="19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Vert"/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2">
    <w:name w:val="List Table 6 Colorful - Accent 4"/>
    <w:basedOn w:val="1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3">
    <w:name w:val="List Table 6 Colorful - Accent 5"/>
    <w:basedOn w:val="19"/>
    <w:qFormat/>
    <w:uiPriority w:val="99"/>
    <w:pPr>
      <w:spacing w:after="0" w:line="240" w:lineRule="auto"/>
    </w:pPr>
    <w:tblPr>
      <w:tblBorders>
        <w:top w:val="single" w:color="8EA9DB" w:themeColor="accent5" w:themeTint="9A" w:sz="4" w:space="0"/>
        <w:bottom w:val="single" w:color="8EA9DB" w:themeColor="accent5" w:themeTint="9A" w:sz="4" w:space="0"/>
      </w:tblBorders>
    </w:tblPr>
    <w:tblStylePr w:type="fir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8EA9DB" w:themeColor="accent5" w:themeTint="9A" w:sz="4" w:space="0"/>
        </w:tcBorders>
      </w:tcPr>
    </w:tblStylePr>
    <w:tblStylePr w:type="la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</w:tcBorders>
      </w:tcPr>
    </w:tblStylePr>
    <w:tblStylePr w:type="fir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2Vert"/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4">
    <w:name w:val="List Table 6 Colorful - Accent 6"/>
    <w:basedOn w:val="19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Vert"/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5">
    <w:name w:val="List Table 7 Colorful"/>
    <w:basedOn w:val="19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6">
    <w:name w:val="List Table 7 Colorful - Accent 1"/>
    <w:basedOn w:val="19"/>
    <w:qFormat/>
    <w:uiPriority w:val="99"/>
    <w:pPr>
      <w:spacing w:after="0" w:line="240" w:lineRule="auto"/>
    </w:pPr>
    <w:tblPr>
      <w:tblBorders>
        <w:right w:val="single" w:color="5B9BD5" w:themeColor="accent1" w:sz="4" w:space="0"/>
      </w:tblBorders>
    </w:tblPr>
    <w:tblStylePr w:type="firstRow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single" w:color="5B9BD5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B8C" w:themeColor="accent1" w:themeShade="94"/>
        <w:sz w:val="22"/>
      </w:rPr>
      <w:tcPr>
        <w:tcBorders>
          <w:top w:val="single" w:color="5B9BD5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nil"/>
          <w:right w:val="single" w:color="5B9BD5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single" w:color="5B9BD5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Vert"/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27">
    <w:name w:val="List Table 7 Colorful - Accent 2"/>
    <w:basedOn w:val="19"/>
    <w:qFormat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Vert"/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8">
    <w:name w:val="List Table 7 Colorful - Accent 3"/>
    <w:basedOn w:val="19"/>
    <w:qFormat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Vert"/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29">
    <w:name w:val="List Table 7 Colorful - Accent 4"/>
    <w:basedOn w:val="19"/>
    <w:qFormat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2Vert"/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30">
    <w:name w:val="List Table 7 Colorful - Accent 5"/>
    <w:basedOn w:val="19"/>
    <w:qFormat/>
    <w:uiPriority w:val="99"/>
    <w:pPr>
      <w:spacing w:after="0" w:line="240" w:lineRule="auto"/>
    </w:pPr>
    <w:tblPr>
      <w:tblBorders>
        <w:right w:val="single" w:color="8EA9DB" w:themeColor="accent5" w:themeTint="9A" w:sz="4" w:space="0"/>
      </w:tblBorders>
    </w:tblPr>
    <w:tblStylePr w:type="fir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8EA9DB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8EA9DB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8EA9DB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2Vert"/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31">
    <w:name w:val="List Table 7 Colorful - Accent 6"/>
    <w:basedOn w:val="19"/>
    <w:qFormat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Vert"/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32">
    <w:name w:val="Lined - Accent"/>
    <w:basedOn w:val="1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33">
    <w:name w:val="Lined - Accent 1"/>
    <w:basedOn w:val="1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34">
    <w:name w:val="Lined - Accent 2"/>
    <w:basedOn w:val="1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35">
    <w:name w:val="Lined - Accent 3"/>
    <w:basedOn w:val="1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36">
    <w:name w:val="Lined - Accent 4"/>
    <w:basedOn w:val="1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37">
    <w:name w:val="Lined - Accent 5"/>
    <w:basedOn w:val="1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38">
    <w:name w:val="Lined - Accent 6"/>
    <w:basedOn w:val="1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39">
    <w:name w:val="Bordered &amp; Lined - Accent"/>
    <w:basedOn w:val="19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40">
    <w:name w:val="Bordered &amp; Lined - Accent 1"/>
    <w:basedOn w:val="19"/>
    <w:qFormat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1" w:themeShade="95" w:sz="4" w:space="0"/>
        <w:left w:val="single" w:color="245B8D" w:themeColor="accent1" w:themeShade="95" w:sz="4" w:space="0"/>
        <w:bottom w:val="single" w:color="245B8D" w:themeColor="accent1" w:themeShade="95" w:sz="4" w:space="0"/>
        <w:right w:val="single" w:color="245B8D" w:themeColor="accent1" w:themeShade="95" w:sz="4" w:space="0"/>
        <w:insideH w:val="single" w:color="245B8D" w:themeColor="accent1" w:themeShade="95" w:sz="4" w:space="0"/>
        <w:insideV w:val="single" w:color="245B8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41">
    <w:name w:val="Bordered &amp; Lined - Accent 2"/>
    <w:basedOn w:val="19"/>
    <w:qFormat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42">
    <w:name w:val="Bordered &amp; Lined - Accent 3"/>
    <w:basedOn w:val="19"/>
    <w:qFormat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43">
    <w:name w:val="Bordered &amp; Lined - Accent 4"/>
    <w:basedOn w:val="19"/>
    <w:qFormat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44">
    <w:name w:val="Bordered &amp; Lined - Accent 5"/>
    <w:basedOn w:val="19"/>
    <w:qFormat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5" w:themeShade="95" w:sz="4" w:space="0"/>
        <w:left w:val="single" w:color="244175" w:themeColor="accent5" w:themeShade="95" w:sz="4" w:space="0"/>
        <w:bottom w:val="single" w:color="244175" w:themeColor="accent5" w:themeShade="95" w:sz="4" w:space="0"/>
        <w:right w:val="single" w:color="244175" w:themeColor="accent5" w:themeShade="95" w:sz="4" w:space="0"/>
        <w:insideH w:val="single" w:color="244175" w:themeColor="accent5" w:themeShade="95" w:sz="4" w:space="0"/>
        <w:insideV w:val="single" w:color="244175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45">
    <w:name w:val="Bordered &amp; Lined - Accent 6"/>
    <w:basedOn w:val="19"/>
    <w:qFormat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46">
    <w:name w:val="Bordered"/>
    <w:basedOn w:val="19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47">
    <w:name w:val="Bordered - Accent 1"/>
    <w:basedOn w:val="19"/>
    <w:qFormat/>
    <w:uiPriority w:val="99"/>
    <w:pPr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48">
    <w:name w:val="Bordered - Accent 2"/>
    <w:basedOn w:val="19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49">
    <w:name w:val="Bordered - Accent 3"/>
    <w:basedOn w:val="19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50">
    <w:name w:val="Bordered - Accent 4"/>
    <w:basedOn w:val="19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51">
    <w:name w:val="Bordered - Accent 5"/>
    <w:basedOn w:val="19"/>
    <w:qFormat/>
    <w:uiPriority w:val="99"/>
    <w:pPr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8E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EA9DB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EA9DB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52">
    <w:name w:val="Bordered - Accent 6"/>
    <w:basedOn w:val="19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53">
    <w:name w:val="Heading 1 Char"/>
    <w:basedOn w:val="21"/>
    <w:link w:val="2"/>
    <w:qFormat/>
    <w:uiPriority w:val="9"/>
    <w:rPr>
      <w:rFonts w:ascii="Arial" w:hAnsi="Arial" w:eastAsia="Arial" w:cs="Arial"/>
      <w:color w:val="2E75B6" w:themeColor="accent1" w:themeShade="BF"/>
      <w:sz w:val="40"/>
      <w:szCs w:val="40"/>
    </w:rPr>
  </w:style>
  <w:style w:type="character" w:customStyle="1" w:styleId="154">
    <w:name w:val="Heading 2 Char"/>
    <w:basedOn w:val="21"/>
    <w:link w:val="3"/>
    <w:qFormat/>
    <w:uiPriority w:val="9"/>
    <w:rPr>
      <w:rFonts w:ascii="Arial" w:hAnsi="Arial" w:eastAsia="Arial" w:cs="Arial"/>
      <w:color w:val="2E75B6" w:themeColor="accent1" w:themeShade="BF"/>
      <w:sz w:val="32"/>
      <w:szCs w:val="32"/>
    </w:rPr>
  </w:style>
  <w:style w:type="character" w:customStyle="1" w:styleId="155">
    <w:name w:val="Heading 3 Char"/>
    <w:basedOn w:val="21"/>
    <w:link w:val="4"/>
    <w:qFormat/>
    <w:uiPriority w:val="9"/>
    <w:rPr>
      <w:rFonts w:ascii="Arial" w:hAnsi="Arial" w:eastAsia="Arial" w:cs="Arial"/>
      <w:color w:val="2E75B6" w:themeColor="accent1" w:themeShade="BF"/>
      <w:sz w:val="28"/>
      <w:szCs w:val="28"/>
    </w:rPr>
  </w:style>
  <w:style w:type="character" w:customStyle="1" w:styleId="156">
    <w:name w:val="Heading 4 Char"/>
    <w:basedOn w:val="21"/>
    <w:link w:val="5"/>
    <w:qFormat/>
    <w:uiPriority w:val="9"/>
    <w:rPr>
      <w:rFonts w:ascii="Arial" w:hAnsi="Arial" w:eastAsia="Arial" w:cs="Arial"/>
      <w:i/>
      <w:iCs/>
      <w:color w:val="2E75B6" w:themeColor="accent1" w:themeShade="BF"/>
    </w:rPr>
  </w:style>
  <w:style w:type="character" w:customStyle="1" w:styleId="157">
    <w:name w:val="Heading 5 Char"/>
    <w:basedOn w:val="21"/>
    <w:link w:val="6"/>
    <w:qFormat/>
    <w:uiPriority w:val="9"/>
    <w:rPr>
      <w:rFonts w:ascii="Arial" w:hAnsi="Arial" w:eastAsia="Arial" w:cs="Arial"/>
      <w:color w:val="2E75B6" w:themeColor="accent1" w:themeShade="BF"/>
    </w:rPr>
  </w:style>
  <w:style w:type="character" w:customStyle="1" w:styleId="158">
    <w:name w:val="Heading 6 Char"/>
    <w:basedOn w:val="21"/>
    <w:link w:val="7"/>
    <w:qFormat/>
    <w:uiPriority w:val="9"/>
    <w:rPr>
      <w:rFonts w:ascii="Arial" w:hAnsi="Arial" w:eastAsia="Arial" w:cs="Arial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59">
    <w:name w:val="Heading 7 Char"/>
    <w:basedOn w:val="21"/>
    <w:link w:val="8"/>
    <w:qFormat/>
    <w:uiPriority w:val="9"/>
    <w:rPr>
      <w:rFonts w:ascii="Arial" w:hAnsi="Arial" w:eastAsia="Arial" w:cs="Arial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60">
    <w:name w:val="Heading 8 Char"/>
    <w:basedOn w:val="21"/>
    <w:link w:val="9"/>
    <w:qFormat/>
    <w:uiPriority w:val="9"/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161">
    <w:name w:val="Heading 9 Char"/>
    <w:basedOn w:val="21"/>
    <w:link w:val="10"/>
    <w:qFormat/>
    <w:uiPriority w:val="9"/>
    <w:rPr>
      <w:rFonts w:ascii="Arial" w:hAnsi="Arial" w:eastAsia="Arial" w:cs="Arial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162">
    <w:name w:val="Title Char"/>
    <w:basedOn w:val="21"/>
    <w:link w:val="18"/>
    <w:qFormat/>
    <w:uiPriority w:val="10"/>
    <w:rPr>
      <w:rFonts w:ascii="Arial" w:hAnsi="Arial" w:eastAsia="Arial" w:cs="Arial"/>
      <w:spacing w:val="-10"/>
      <w:sz w:val="56"/>
      <w:szCs w:val="56"/>
    </w:rPr>
  </w:style>
  <w:style w:type="character" w:customStyle="1" w:styleId="163">
    <w:name w:val="Subtitle Char"/>
    <w:basedOn w:val="21"/>
    <w:link w:val="15"/>
    <w:qFormat/>
    <w:uiPriority w:val="11"/>
    <w:rPr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4">
    <w:name w:val="Quote"/>
    <w:basedOn w:val="1"/>
    <w:next w:val="1"/>
    <w:link w:val="165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65">
    <w:name w:val="Quote Char"/>
    <w:basedOn w:val="21"/>
    <w:link w:val="164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66">
    <w:name w:val="List Paragraph"/>
    <w:basedOn w:val="1"/>
    <w:qFormat/>
    <w:uiPriority w:val="34"/>
    <w:pPr>
      <w:ind w:left="720"/>
      <w:contextualSpacing/>
    </w:pPr>
  </w:style>
  <w:style w:type="character" w:customStyle="1" w:styleId="167">
    <w:name w:val="Intense Emphasis"/>
    <w:basedOn w:val="21"/>
    <w:qFormat/>
    <w:uiPriority w:val="21"/>
    <w:rPr>
      <w:i/>
      <w:iCs/>
      <w:color w:val="2E75B6" w:themeColor="accent1" w:themeShade="BF"/>
    </w:rPr>
  </w:style>
  <w:style w:type="paragraph" w:styleId="168">
    <w:name w:val="Intense Quote"/>
    <w:basedOn w:val="1"/>
    <w:next w:val="1"/>
    <w:link w:val="169"/>
    <w:qFormat/>
    <w:uiPriority w:val="30"/>
    <w:pPr>
      <w:pBdr>
        <w:top w:val="single" w:color="2E75B5" w:themeColor="accent1" w:themeShade="BF" w:sz="4" w:space="10"/>
        <w:bottom w:val="single" w:color="2E75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5B6" w:themeColor="accent1" w:themeShade="BF"/>
    </w:rPr>
  </w:style>
  <w:style w:type="character" w:customStyle="1" w:styleId="169">
    <w:name w:val="Intense Quote Char"/>
    <w:basedOn w:val="21"/>
    <w:link w:val="168"/>
    <w:qFormat/>
    <w:uiPriority w:val="30"/>
    <w:rPr>
      <w:i/>
      <w:iCs/>
      <w:color w:val="2E75B6" w:themeColor="accent1" w:themeShade="BF"/>
    </w:rPr>
  </w:style>
  <w:style w:type="character" w:customStyle="1" w:styleId="170">
    <w:name w:val="Intense Reference"/>
    <w:basedOn w:val="21"/>
    <w:qFormat/>
    <w:uiPriority w:val="32"/>
    <w:rPr>
      <w:b/>
      <w:bCs/>
      <w:smallCaps/>
      <w:color w:val="2E75B6" w:themeColor="accent1" w:themeShade="BF"/>
      <w:spacing w:val="5"/>
    </w:rPr>
  </w:style>
  <w:style w:type="paragraph" w:styleId="171">
    <w:name w:val="No Spacing"/>
    <w:basedOn w:val="1"/>
    <w:qFormat/>
    <w:uiPriority w:val="1"/>
    <w:pPr>
      <w:spacing w:after="0" w:line="240" w:lineRule="auto"/>
    </w:pPr>
  </w:style>
  <w:style w:type="character" w:customStyle="1" w:styleId="172">
    <w:name w:val="Subtle Emphasis"/>
    <w:basedOn w:val="2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73">
    <w:name w:val="Subtle Reference"/>
    <w:basedOn w:val="2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74">
    <w:name w:val="Book Title"/>
    <w:basedOn w:val="21"/>
    <w:qFormat/>
    <w:uiPriority w:val="33"/>
    <w:rPr>
      <w:b/>
      <w:bCs/>
      <w:i/>
      <w:iCs/>
      <w:spacing w:val="5"/>
    </w:rPr>
  </w:style>
  <w:style w:type="character" w:customStyle="1" w:styleId="175">
    <w:name w:val="Header Char"/>
    <w:basedOn w:val="21"/>
    <w:qFormat/>
    <w:uiPriority w:val="99"/>
  </w:style>
  <w:style w:type="character" w:customStyle="1" w:styleId="176">
    <w:name w:val="Footer Char"/>
    <w:basedOn w:val="21"/>
    <w:qFormat/>
    <w:uiPriority w:val="99"/>
  </w:style>
  <w:style w:type="character" w:customStyle="1" w:styleId="177">
    <w:name w:val="Footnote Text Char"/>
    <w:basedOn w:val="21"/>
    <w:link w:val="16"/>
    <w:semiHidden/>
    <w:qFormat/>
    <w:uiPriority w:val="99"/>
    <w:rPr>
      <w:sz w:val="20"/>
      <w:szCs w:val="20"/>
    </w:rPr>
  </w:style>
  <w:style w:type="character" w:customStyle="1" w:styleId="178">
    <w:name w:val="Endnote Text Char"/>
    <w:basedOn w:val="21"/>
    <w:link w:val="12"/>
    <w:semiHidden/>
    <w:qFormat/>
    <w:uiPriority w:val="99"/>
    <w:rPr>
      <w:sz w:val="20"/>
      <w:szCs w:val="20"/>
    </w:rPr>
  </w:style>
  <w:style w:type="paragraph" w:customStyle="1" w:styleId="179">
    <w:name w:val="TOC Heading"/>
    <w:unhideWhenUsed/>
    <w:qFormat/>
    <w:uiPriority w:val="39"/>
    <w:rPr>
      <w:rFonts w:hint="default" w:asciiTheme="minorHAnsi" w:hAnsiTheme="minorHAnsi" w:eastAsiaTheme="minorEastAsia" w:cstheme="minorBidi"/>
      <w:sz w:val="21"/>
      <w:szCs w:val="22"/>
    </w:rPr>
  </w:style>
  <w:style w:type="character" w:customStyle="1" w:styleId="180">
    <w:name w:val="页眉 Char"/>
    <w:basedOn w:val="21"/>
    <w:link w:val="1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1">
    <w:name w:val="页脚 Char"/>
    <w:basedOn w:val="21"/>
    <w:link w:val="1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TotalTime>1</TotalTime>
  <ScaleCrop>false</ScaleCrop>
  <LinksUpToDate>false</LinksUpToDate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2024-04-20T05:56:00Z</dcterms:created>
  <dc:creator>Li Weining</dc:creator>
  <cp:lastModifiedBy>zgj-bsk-03</cp:lastModifiedBy>
  <cp:lastPrinted>2025-04-03T17:35:00Z</cp:lastPrinted>
  <dcterms:modified xsi:type="dcterms:W3CDTF">2025-10-24T10:39:02Z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6D6266438A9A48D7827CF968A8755A53_43</vt:lpwstr>
  </property>
</Properties>
</file>