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行政处罚事项外部流程图</w:t>
      </w:r>
    </w:p>
    <w:p>
      <w:r>
        <w:rPr>
          <w:rFonts w:ascii="仿宋_GB2312" w:eastAsia="仿宋_GB2312"/>
          <w:sz w:val="32"/>
          <w:szCs w:val="32"/>
        </w:rPr>
        <w:drawing>
          <wp:inline distT="0" distB="0" distL="114300" distR="114300">
            <wp:extent cx="6229350" cy="7734300"/>
            <wp:effectExtent l="0" t="0" r="0" b="0"/>
            <wp:docPr id="1" name="图片 1" descr="~}[R_4KJIC1M)HQ19FQ[RX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~}[R_4KJIC1M)HQ19FQ[RXU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37ACC"/>
    <w:rsid w:val="4E13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2021-09-17T08:39:00Z</dcterms:created>
  <dc:creator>陈芊庆</dc:creator>
  <cp:lastModifiedBy>陈芊庆</cp:lastModifiedBy>
  <dcterms:modified xsi:type="dcterms:W3CDTF">2021-09-17T08:40:08Z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