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Times New Roman" w:hAnsi="Times New Roman" w:cs="Times New Roman"/>
          <w:b/>
          <w:sz w:val="50"/>
          <w:szCs w:val="50"/>
        </w:rPr>
      </w:pPr>
    </w:p>
    <w:p>
      <w:pPr>
        <w:pStyle w:val="2"/>
        <w:rPr>
          <w:rFonts w:ascii="Times New Roman" w:hAnsi="Times New Roman" w:cs="Times New Roman"/>
          <w:lang w:val="en-US"/>
        </w:rPr>
      </w:pPr>
    </w:p>
    <w:p>
      <w:pPr>
        <w:pStyle w:val="3"/>
        <w:ind w:firstLine="210"/>
        <w:rPr>
          <w:rFonts w:ascii="Times New Roman" w:hAnsi="Times New Roman" w:cs="Times New Roman"/>
          <w:lang w:val="en-US"/>
        </w:rPr>
      </w:pPr>
    </w:p>
    <w:p>
      <w:pPr>
        <w:pStyle w:val="3"/>
        <w:ind w:firstLine="210"/>
        <w:rPr>
          <w:rFonts w:ascii="Times New Roman" w:hAnsi="Times New Roman" w:cs="Times New Roman"/>
          <w:lang w:val="en-US"/>
        </w:rPr>
      </w:pPr>
    </w:p>
    <w:p>
      <w:pPr>
        <w:widowControl/>
        <w:spacing w:line="360" w:lineRule="auto"/>
        <w:jc w:val="center"/>
        <w:rPr>
          <w:rFonts w:ascii="Times New Roman" w:hAnsi="Times New Roman" w:cs="Times New Roman"/>
          <w:b/>
          <w:sz w:val="50"/>
          <w:szCs w:val="50"/>
        </w:rPr>
      </w:pPr>
      <w:r>
        <w:rPr>
          <w:rFonts w:ascii="Times New Roman" w:hAnsi="Times New Roman" w:cs="Times New Roman"/>
          <w:b/>
          <w:sz w:val="50"/>
          <w:szCs w:val="50"/>
        </w:rPr>
        <w:t>东阳市2021年生态文明建设工作总结及2022年工作计划</w:t>
      </w:r>
    </w:p>
    <w:p>
      <w:pPr>
        <w:widowControl/>
        <w:spacing w:line="360" w:lineRule="auto"/>
        <w:jc w:val="center"/>
        <w:rPr>
          <w:rFonts w:ascii="Times New Roman" w:hAnsi="Times New Roman" w:cs="Times New Roman"/>
          <w:b/>
          <w:sz w:val="52"/>
          <w:szCs w:val="52"/>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widowControl/>
        <w:spacing w:line="360" w:lineRule="auto"/>
        <w:jc w:val="center"/>
        <w:rPr>
          <w:rFonts w:ascii="Times New Roman" w:hAnsi="Times New Roman" w:cs="Times New Roman"/>
          <w:b/>
          <w:sz w:val="44"/>
        </w:rPr>
      </w:pPr>
    </w:p>
    <w:p>
      <w:pPr>
        <w:pStyle w:val="2"/>
        <w:rPr>
          <w:rFonts w:ascii="Times New Roman" w:hAnsi="Times New Roman" w:cs="Times New Roman"/>
          <w:lang w:val="en-US"/>
        </w:rPr>
      </w:pPr>
    </w:p>
    <w:p>
      <w:pPr>
        <w:pStyle w:val="3"/>
        <w:ind w:firstLine="210"/>
        <w:rPr>
          <w:rFonts w:ascii="Times New Roman" w:hAnsi="Times New Roman" w:cs="Times New Roman"/>
          <w:lang w:val="en-US"/>
        </w:rPr>
      </w:pPr>
    </w:p>
    <w:p>
      <w:pPr>
        <w:pStyle w:val="23"/>
        <w:widowControl w:val="0"/>
        <w:spacing w:line="560" w:lineRule="exact"/>
        <w:jc w:val="center"/>
        <w:rPr>
          <w:b/>
          <w:sz w:val="44"/>
        </w:rPr>
      </w:pPr>
      <w:r>
        <w:rPr>
          <w:b/>
          <w:sz w:val="44"/>
        </w:rPr>
        <w:t>东阳市人民政府</w:t>
      </w:r>
    </w:p>
    <w:p>
      <w:pPr>
        <w:widowControl/>
        <w:spacing w:line="360" w:lineRule="auto"/>
        <w:jc w:val="center"/>
        <w:rPr>
          <w:rFonts w:ascii="Times New Roman" w:hAnsi="Times New Roman" w:cs="Times New Roman"/>
          <w:b/>
          <w:sz w:val="44"/>
        </w:rPr>
      </w:pPr>
    </w:p>
    <w:p>
      <w:pPr>
        <w:pStyle w:val="23"/>
        <w:widowControl w:val="0"/>
        <w:spacing w:line="560" w:lineRule="exact"/>
        <w:jc w:val="center"/>
        <w:rPr>
          <w:b/>
          <w:sz w:val="44"/>
        </w:rPr>
        <w:sectPr>
          <w:footerReference r:id="rId3" w:type="default"/>
          <w:footerReference r:id="rId4" w:type="even"/>
          <w:pgSz w:w="11906" w:h="16838"/>
          <w:pgMar w:top="1440" w:right="1800" w:bottom="1440" w:left="1800" w:header="851" w:footer="992" w:gutter="0"/>
          <w:cols w:space="720" w:num="1"/>
          <w:docGrid w:type="lines" w:linePitch="312" w:charSpace="0"/>
        </w:sectPr>
      </w:pPr>
      <w:r>
        <w:rPr>
          <w:b/>
          <w:sz w:val="44"/>
        </w:rPr>
        <w:t>二〇二二年六月</w:t>
      </w:r>
    </w:p>
    <w:p>
      <w:pPr>
        <w:spacing w:before="312" w:beforeLines="100" w:after="468" w:afterLines="150"/>
        <w:jc w:val="center"/>
        <w:rPr>
          <w:rFonts w:ascii="Times New Roman" w:hAnsi="Times New Roman" w:eastAsia="宋体" w:cs="Times New Roman"/>
          <w:b/>
          <w:sz w:val="36"/>
        </w:rPr>
      </w:pPr>
      <w:r>
        <w:rPr>
          <w:rFonts w:ascii="Times New Roman" w:hAnsi="Times New Roman" w:eastAsia="宋体" w:cs="Times New Roman"/>
          <w:b/>
          <w:sz w:val="36"/>
        </w:rPr>
        <w:t>目    录</w:t>
      </w:r>
    </w:p>
    <w:p>
      <w:pPr>
        <w:pStyle w:val="10"/>
        <w:tabs>
          <w:tab w:val="left" w:pos="1400"/>
          <w:tab w:val="right" w:leader="dot" w:pos="8302"/>
        </w:tabs>
        <w:spacing w:line="360" w:lineRule="auto"/>
        <w:rPr>
          <w:b w:val="0"/>
          <w:bCs w:val="0"/>
          <w:caps w:val="0"/>
          <w:sz w:val="30"/>
          <w:szCs w:val="30"/>
        </w:rPr>
      </w:pPr>
      <w:r>
        <w:rPr>
          <w:b w:val="0"/>
          <w:bCs w:val="0"/>
          <w:caps w:val="0"/>
          <w:sz w:val="30"/>
          <w:szCs w:val="30"/>
        </w:rPr>
        <w:fldChar w:fldCharType="begin"/>
      </w:r>
      <w:r>
        <w:rPr>
          <w:b w:val="0"/>
          <w:bCs w:val="0"/>
          <w:caps w:val="0"/>
          <w:sz w:val="30"/>
          <w:szCs w:val="30"/>
        </w:rPr>
        <w:instrText xml:space="preserve"> TOC \o "1-2" \h \z \u </w:instrText>
      </w:r>
      <w:r>
        <w:rPr>
          <w:b w:val="0"/>
          <w:bCs w:val="0"/>
          <w:caps w:val="0"/>
          <w:sz w:val="30"/>
          <w:szCs w:val="30"/>
        </w:rPr>
        <w:fldChar w:fldCharType="end"/>
      </w:r>
      <w:r>
        <w:rPr>
          <w:b w:val="0"/>
          <w:bCs w:val="0"/>
          <w:caps w:val="0"/>
          <w:sz w:val="30"/>
          <w:szCs w:val="30"/>
        </w:rPr>
        <w:t>一、2021年工作总结……………………………………………1</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（一）建立健全制度体系………………………………….1</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（二）构建优化空间格局………………………………….3</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（三）持续改善生态环境………………………………….5</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（四）大力发展绿色经济………………………………….9</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（五）提倡绿色生态生活………………………………….11</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（六）积极培育生态文化………………………………….13</w:t>
      </w:r>
    </w:p>
    <w:p>
      <w:pPr>
        <w:pStyle w:val="10"/>
        <w:tabs>
          <w:tab w:val="left" w:pos="1400"/>
          <w:tab w:val="right" w:leader="dot" w:pos="8302"/>
        </w:tabs>
        <w:spacing w:line="360" w:lineRule="auto"/>
        <w:rPr>
          <w:b w:val="0"/>
          <w:bCs w:val="0"/>
          <w:caps w:val="0"/>
          <w:sz w:val="30"/>
          <w:szCs w:val="30"/>
        </w:rPr>
      </w:pPr>
      <w:r>
        <w:rPr>
          <w:b w:val="0"/>
          <w:bCs w:val="0"/>
          <w:caps w:val="0"/>
          <w:sz w:val="30"/>
          <w:szCs w:val="30"/>
        </w:rPr>
        <w:t>二、2022年工作计划…………………………….……………...14</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（一）强化环境治理司法保障………………………….…14</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（二）加强生态文明制度支撑……………………………..15</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（三）优化自然生态空间格局…………………………….17</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（四）提升生态环境治理能力…………………………….18</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（五）精心打造宜居美丽城乡…………………………….21</w:t>
      </w:r>
    </w:p>
    <w:p>
      <w:pPr>
        <w:pStyle w:val="10"/>
        <w:tabs>
          <w:tab w:val="left" w:pos="1400"/>
          <w:tab w:val="right" w:leader="dot" w:pos="8302"/>
        </w:tabs>
        <w:spacing w:line="360" w:lineRule="auto"/>
        <w:ind w:firstLine="600"/>
        <w:rPr>
          <w:b w:val="0"/>
          <w:bCs w:val="0"/>
          <w:caps w:val="0"/>
          <w:sz w:val="30"/>
          <w:szCs w:val="30"/>
        </w:rPr>
      </w:pPr>
      <w:r>
        <w:rPr>
          <w:b w:val="0"/>
          <w:bCs w:val="0"/>
          <w:caps w:val="0"/>
          <w:sz w:val="30"/>
          <w:szCs w:val="30"/>
        </w:rPr>
        <w:t>（六）创新推动绿色低碳发展.…………………..……….22</w:t>
      </w:r>
    </w:p>
    <w:p>
      <w:pPr>
        <w:rPr>
          <w:rFonts w:ascii="Times New Roman" w:hAnsi="Times New Roman" w:cs="Times New Roman"/>
        </w:rPr>
      </w:pPr>
    </w:p>
    <w:p>
      <w:pPr>
        <w:pStyle w:val="10"/>
        <w:tabs>
          <w:tab w:val="left" w:pos="1400"/>
          <w:tab w:val="right" w:leader="dot" w:pos="8302"/>
        </w:tabs>
        <w:spacing w:line="360" w:lineRule="auto"/>
      </w:pPr>
      <w:r>
        <w:rPr>
          <w:b w:val="0"/>
          <w:bCs w:val="0"/>
          <w:caps w:val="0"/>
          <w:sz w:val="30"/>
          <w:szCs w:val="30"/>
        </w:rPr>
        <w:t>附表：东阳市创建省级生态文明建设示范市指标完成情况自评表（2021年）</w:t>
      </w:r>
    </w:p>
    <w:p>
      <w:pPr>
        <w:pStyle w:val="23"/>
        <w:widowControl w:val="0"/>
        <w:spacing w:line="560" w:lineRule="exact"/>
        <w:jc w:val="center"/>
        <w:rPr>
          <w:rFonts w:eastAsia="黑体"/>
          <w:b/>
          <w:bCs/>
          <w:sz w:val="44"/>
          <w:szCs w:val="44"/>
        </w:rPr>
        <w:sectPr>
          <w:pgSz w:w="11906" w:h="16838"/>
          <w:pgMar w:top="1440" w:right="1800" w:bottom="1440" w:left="1800" w:header="851" w:footer="992" w:gutter="0"/>
          <w:cols w:space="720" w:num="1"/>
          <w:docGrid w:type="lines" w:linePitch="312" w:charSpace="0"/>
        </w:sectPr>
      </w:pPr>
    </w:p>
    <w:p>
      <w:pPr>
        <w:spacing w:line="600" w:lineRule="exact"/>
        <w:jc w:val="center"/>
        <w:rPr>
          <w:rFonts w:ascii="Times New Roman" w:hAnsi="Times New Roman" w:eastAsia="黑体" w:cs="Times New Roman"/>
          <w:b/>
          <w:bCs/>
          <w:sz w:val="44"/>
          <w:szCs w:val="44"/>
        </w:rPr>
      </w:pPr>
      <w:r>
        <w:rPr>
          <w:rFonts w:ascii="Times New Roman" w:hAnsi="Times New Roman" w:eastAsia="黑体" w:cs="Times New Roman"/>
          <w:b/>
          <w:bCs/>
          <w:sz w:val="44"/>
          <w:szCs w:val="44"/>
        </w:rPr>
        <w:t>东阳市2021年生态文明建设工作总结及2022年工作计划</w:t>
      </w:r>
    </w:p>
    <w:p>
      <w:pPr>
        <w:pStyle w:val="3"/>
        <w:ind w:firstLine="210"/>
        <w:rPr>
          <w:rFonts w:ascii="Times New Roman" w:hAnsi="Times New Roman" w:cs="Times New Roman"/>
          <w:lang w:val="en-US"/>
        </w:rPr>
      </w:pPr>
    </w:p>
    <w:p>
      <w:pPr>
        <w:pStyle w:val="23"/>
        <w:widowControl w:val="0"/>
        <w:spacing w:line="360" w:lineRule="auto"/>
        <w:ind w:firstLine="640" w:firstLineChars="200"/>
        <w:rPr>
          <w:rFonts w:eastAsia="仿宋_GB2312"/>
          <w:sz w:val="32"/>
          <w:szCs w:val="32"/>
        </w:rPr>
      </w:pPr>
      <w:r>
        <w:rPr>
          <w:rFonts w:eastAsia="仿宋_GB2312"/>
          <w:snapToGrid w:val="0"/>
          <w:sz w:val="32"/>
          <w:szCs w:val="32"/>
        </w:rPr>
        <w:t>2021年是“十四五”的开</w:t>
      </w:r>
      <w:r>
        <w:rPr>
          <w:rFonts w:hint="eastAsia" w:eastAsia="仿宋_GB2312"/>
          <w:snapToGrid w:val="0"/>
          <w:sz w:val="32"/>
          <w:szCs w:val="32"/>
        </w:rPr>
        <w:t>局</w:t>
      </w:r>
      <w:r>
        <w:rPr>
          <w:rFonts w:eastAsia="仿宋_GB2312"/>
          <w:snapToGrid w:val="0"/>
          <w:sz w:val="32"/>
          <w:szCs w:val="32"/>
        </w:rPr>
        <w:t>之年，面对新冠肺炎疫情多重考验，东阳</w:t>
      </w:r>
      <w:r>
        <w:rPr>
          <w:rFonts w:eastAsia="仿宋_GB2312"/>
          <w:sz w:val="32"/>
          <w:szCs w:val="32"/>
        </w:rPr>
        <w:t>市委、市政府全面贯彻落实党的十九大精神，深谙</w:t>
      </w:r>
      <w:r>
        <w:rPr>
          <w:rFonts w:eastAsia="仿宋_GB2312"/>
          <w:snapToGrid w:val="0"/>
          <w:sz w:val="32"/>
          <w:szCs w:val="32"/>
        </w:rPr>
        <w:t>新时代生态文明发展重任，在</w:t>
      </w:r>
      <w:r>
        <w:rPr>
          <w:rFonts w:hint="eastAsia" w:eastAsia="仿宋_GB2312"/>
          <w:snapToGrid w:val="0"/>
          <w:sz w:val="32"/>
          <w:szCs w:val="32"/>
        </w:rPr>
        <w:t>落实疫情</w:t>
      </w:r>
      <w:r>
        <w:rPr>
          <w:rFonts w:eastAsia="仿宋_GB2312"/>
          <w:snapToGrid w:val="0"/>
          <w:sz w:val="32"/>
          <w:szCs w:val="32"/>
        </w:rPr>
        <w:t>防控常态化</w:t>
      </w:r>
      <w:r>
        <w:rPr>
          <w:rFonts w:hint="eastAsia" w:eastAsia="仿宋_GB2312"/>
          <w:snapToGrid w:val="0"/>
          <w:sz w:val="32"/>
          <w:szCs w:val="32"/>
        </w:rPr>
        <w:t>需求</w:t>
      </w:r>
      <w:r>
        <w:rPr>
          <w:rFonts w:eastAsia="仿宋_GB2312"/>
          <w:snapToGrid w:val="0"/>
          <w:sz w:val="32"/>
          <w:szCs w:val="32"/>
        </w:rPr>
        <w:t>的前提下，紧密推进生态文明建设工作</w:t>
      </w:r>
      <w:r>
        <w:rPr>
          <w:rFonts w:eastAsia="仿宋_GB2312"/>
          <w:sz w:val="32"/>
          <w:szCs w:val="32"/>
        </w:rPr>
        <w:t>。</w:t>
      </w:r>
    </w:p>
    <w:p>
      <w:pPr>
        <w:spacing w:before="156" w:beforeLines="50" w:line="360" w:lineRule="auto"/>
        <w:ind w:firstLine="620" w:firstLineChars="200"/>
        <w:rPr>
          <w:rFonts w:ascii="Times New Roman" w:hAnsi="Times New Roman" w:eastAsia="黑体" w:cs="Times New Roman"/>
          <w:kern w:val="0"/>
          <w:sz w:val="31"/>
          <w:szCs w:val="31"/>
        </w:rPr>
      </w:pPr>
      <w:r>
        <w:rPr>
          <w:rFonts w:ascii="Times New Roman" w:hAnsi="Times New Roman" w:eastAsia="黑体" w:cs="Times New Roman"/>
          <w:kern w:val="0"/>
          <w:sz w:val="31"/>
          <w:szCs w:val="31"/>
        </w:rPr>
        <w:t>一、2021年工作总结</w:t>
      </w:r>
    </w:p>
    <w:p>
      <w:pPr>
        <w:spacing w:line="360" w:lineRule="auto"/>
        <w:ind w:firstLine="643" w:firstLineChars="200"/>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（一）建立健全制度体系</w:t>
      </w:r>
    </w:p>
    <w:p>
      <w:pPr>
        <w:pStyle w:val="23"/>
        <w:widowControl w:val="0"/>
        <w:spacing w:line="360" w:lineRule="auto"/>
        <w:ind w:firstLine="643" w:firstLineChars="200"/>
        <w:rPr>
          <w:rFonts w:eastAsia="仿宋_GB2312"/>
          <w:snapToGrid w:val="0"/>
          <w:sz w:val="32"/>
          <w:szCs w:val="32"/>
        </w:rPr>
      </w:pPr>
      <w:r>
        <w:rPr>
          <w:rFonts w:eastAsia="仿宋_GB2312"/>
          <w:b/>
          <w:snapToGrid w:val="0"/>
          <w:sz w:val="32"/>
          <w:szCs w:val="32"/>
        </w:rPr>
        <w:t>1.开展美丽东阳建设审计监督。</w:t>
      </w:r>
      <w:r>
        <w:rPr>
          <w:rFonts w:eastAsia="仿宋_GB2312"/>
          <w:snapToGrid w:val="0"/>
          <w:sz w:val="32"/>
          <w:szCs w:val="32"/>
        </w:rPr>
        <w:t>通过整合审计力量、强化部门联动、明确审计事项等工作举措，在对巍山镇领导干部经济责任审计中，同步开展了领导干部自然资源资产离任审计。重点对生态环境保护法律法规、政策措施、重大资金和项目等落实情况进行关注，审计主要发现了砂场整治不到位、矿山整治工程未达到设计要求、怀鲁污水处理厂运营管理不到位等方面的问题，提出审计建议3条，出具巍山镇领导干部自然资源资产审计意见1份，报送自然资源资产方面的审计专报1篇。</w:t>
      </w:r>
    </w:p>
    <w:p>
      <w:pPr>
        <w:ind w:firstLine="643" w:firstLineChars="200"/>
        <w:rPr>
          <w:rFonts w:ascii="Times New Roman" w:hAnsi="Times New Roman" w:eastAsia="仿宋_GB2312" w:cs="Times New Roman"/>
          <w:snapToGrid w:val="0"/>
          <w:sz w:val="32"/>
          <w:szCs w:val="32"/>
        </w:rPr>
      </w:pPr>
      <w:r>
        <w:rPr>
          <w:rFonts w:ascii="Times New Roman" w:hAnsi="Times New Roman" w:eastAsia="仿宋_GB2312" w:cs="Times New Roman"/>
          <w:b/>
          <w:bCs/>
          <w:sz w:val="32"/>
          <w:szCs w:val="32"/>
        </w:rPr>
        <w:t>2.探索开展生态产品价值实现机制。</w:t>
      </w:r>
      <w:r>
        <w:rPr>
          <w:rFonts w:ascii="Times New Roman" w:hAnsi="Times New Roman" w:eastAsia="仿宋_GB2312" w:cs="Times New Roman"/>
          <w:sz w:val="32"/>
          <w:szCs w:val="32"/>
        </w:rPr>
        <w:t>积极拓展绿水青山就是金山银山的转化通道，组织各镇街及政府部门开展“两山”转化典型范例申报，申报《“一亩山万元钱”林业技术推广》、《东白山茶园小镇改造项目》、《东阳市共享田园建设》、《东阳市推广新时代“寀卢经验”建设共同富裕现代化基本单元》、《花园5A景区镇生动践行“两山”理论》、《三单乡林栖三十六院项目》等6个“绿水青山就是金山银山”转化典型范例，并积极与金华发改部门对接跟踪申报进展情况。</w:t>
      </w:r>
    </w:p>
    <w:p>
      <w:pPr>
        <w:pStyle w:val="23"/>
        <w:widowControl w:val="0"/>
        <w:spacing w:line="360" w:lineRule="auto"/>
        <w:ind w:firstLine="643" w:firstLineChars="200"/>
        <w:rPr>
          <w:rFonts w:eastAsia="仿宋_GB2312"/>
          <w:snapToGrid w:val="0"/>
          <w:sz w:val="32"/>
          <w:szCs w:val="32"/>
        </w:rPr>
      </w:pPr>
      <w:r>
        <w:rPr>
          <w:rFonts w:eastAsia="仿宋_GB2312"/>
          <w:b/>
          <w:sz w:val="32"/>
          <w:szCs w:val="32"/>
        </w:rPr>
        <w:t>3.落实环保税复核机制。</w:t>
      </w:r>
      <w:r>
        <w:rPr>
          <w:rFonts w:eastAsia="仿宋_GB2312"/>
          <w:snapToGrid w:val="0"/>
          <w:sz w:val="32"/>
          <w:szCs w:val="32"/>
        </w:rPr>
        <w:t>实行环保税复核系统无纸化流转，2021年度共推送两条环保税复核流程，涉及环保税纳税人两户，均在规定时限内完成流程，无需线下传递纸质文书。根据复核结果，新纳入环保税管理1户。</w:t>
      </w:r>
    </w:p>
    <w:p>
      <w:pPr>
        <w:pStyle w:val="23"/>
        <w:widowControl w:val="0"/>
        <w:spacing w:line="360" w:lineRule="auto"/>
        <w:ind w:firstLine="643" w:firstLineChars="200"/>
        <w:rPr>
          <w:rFonts w:eastAsia="仿宋"/>
          <w:sz w:val="32"/>
          <w:szCs w:val="32"/>
        </w:rPr>
      </w:pPr>
      <w:r>
        <w:rPr>
          <w:rFonts w:eastAsia="仿宋_GB2312"/>
          <w:b/>
          <w:sz w:val="32"/>
          <w:szCs w:val="32"/>
        </w:rPr>
        <w:t>4.推进绿色金融发展。</w:t>
      </w:r>
      <w:r>
        <w:rPr>
          <w:rFonts w:eastAsia="仿宋_GB2312"/>
          <w:sz w:val="32"/>
          <w:szCs w:val="32"/>
        </w:rPr>
        <w:t>依托绿色金融，推动环保基础设施建设，如农行东阳市支行积极支持全市水资源整合建设，创新推出“治水贷”产品。对传统企业技改提供信贷支持，东阳农商行在江北巨和众创城、巍山万洋众创城小微园开展“整园授信”金融服务试点，在江北培育中信开展数字化小微企业园金融服务试点，积极开展“整园授信”，支持园区数字化管理、清洁能源替代、能源梯级利用改造，推进园区分类建档和授信工作，打造绿色低碳园区。各银行机构以横店影视城为依托，做好金融支持文旅品牌创建，通过支持横店小城镇风貌提升、横店影视产业园配套项目建设及</w:t>
      </w:r>
      <w:r>
        <w:rPr>
          <w:rFonts w:eastAsia="仿宋"/>
          <w:sz w:val="32"/>
          <w:szCs w:val="32"/>
        </w:rPr>
        <w:t>影视产业链发展等措施</w:t>
      </w:r>
      <w:r>
        <w:rPr>
          <w:rFonts w:eastAsia="仿宋_GB2312"/>
          <w:sz w:val="32"/>
          <w:szCs w:val="32"/>
        </w:rPr>
        <w:t>，打造“影视+”旅游名片</w:t>
      </w:r>
      <w:r>
        <w:rPr>
          <w:rFonts w:eastAsia="仿宋"/>
          <w:sz w:val="32"/>
          <w:szCs w:val="32"/>
        </w:rPr>
        <w:t>。</w:t>
      </w:r>
    </w:p>
    <w:p>
      <w:pPr>
        <w:pStyle w:val="25"/>
        <w:spacing w:line="360" w:lineRule="auto"/>
        <w:ind w:firstLine="643"/>
        <w:rPr>
          <w:rFonts w:eastAsia="仿宋_GB2312"/>
          <w:sz w:val="32"/>
          <w:szCs w:val="32"/>
        </w:rPr>
      </w:pPr>
      <w:r>
        <w:rPr>
          <w:rFonts w:eastAsia="仿宋_GB2312"/>
          <w:b/>
          <w:sz w:val="32"/>
          <w:szCs w:val="32"/>
        </w:rPr>
        <w:t>5.创新实施生态环境“大会战”机制。</w:t>
      </w:r>
      <w:r>
        <w:rPr>
          <w:rFonts w:eastAsia="仿宋_GB2312"/>
          <w:sz w:val="32"/>
          <w:szCs w:val="32"/>
        </w:rPr>
        <w:t>组建以市主要领导为双组长的生态环境“大会战”指挥部，统筹纳入市“美丽办”、“五水共治办”、“蓝天办”等机构，多部门协同、条目式部署推进生态环境工作任务，明确责任清单。2021年，系统梳理81项重点工程与项目，召开周例会、月推进会、现场办公会等78 次，解决生态文明建设推进中的难题阻碍50个，促进全市生态环境质量“串珠成线、连线成片”大幅改善。对照生态环境工作任务清单，坚持挂图作战、每周督查、销号管理，根据时序清单开展现场推进办公190次，对于进度落后、成效较差的工作发放“提醒函”58份，推动生态环境项目任务有序高效落实，营造赶超争先的良好氛围。</w:t>
      </w:r>
    </w:p>
    <w:p>
      <w:pPr>
        <w:spacing w:line="360" w:lineRule="auto"/>
        <w:ind w:firstLine="643" w:firstLineChars="200"/>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（二）构建优化空间格局</w:t>
      </w:r>
    </w:p>
    <w:p>
      <w:pPr>
        <w:pStyle w:val="25"/>
        <w:spacing w:line="360" w:lineRule="auto"/>
        <w:ind w:firstLine="643"/>
        <w:rPr>
          <w:rFonts w:eastAsia="仿宋_GB2312"/>
          <w:sz w:val="32"/>
          <w:szCs w:val="32"/>
        </w:rPr>
      </w:pPr>
      <w:r>
        <w:rPr>
          <w:rFonts w:eastAsia="仿宋_GB2312"/>
          <w:b/>
          <w:sz w:val="32"/>
          <w:szCs w:val="32"/>
        </w:rPr>
        <w:t>1.盘活土地资源。</w:t>
      </w:r>
      <w:r>
        <w:rPr>
          <w:rFonts w:eastAsia="仿宋_GB2312"/>
          <w:sz w:val="32"/>
          <w:szCs w:val="32"/>
        </w:rPr>
        <w:t>2021年完成盘活存量用地面积3870.59亩，完成低效用地再开发库内面积2240亩，库外面积3299.7亩，节约集约工作获得</w:t>
      </w:r>
      <w:r>
        <w:rPr>
          <w:rFonts w:hint="eastAsia" w:eastAsia="仿宋_GB2312"/>
          <w:sz w:val="32"/>
          <w:szCs w:val="32"/>
        </w:rPr>
        <w:t>原</w:t>
      </w:r>
      <w:r>
        <w:rPr>
          <w:rFonts w:eastAsia="仿宋_GB2312"/>
          <w:sz w:val="32"/>
          <w:szCs w:val="32"/>
        </w:rPr>
        <w:t>常务副省长陈金彪和原金华市委书记陈龙批示肯定。</w:t>
      </w:r>
    </w:p>
    <w:p>
      <w:pPr>
        <w:pStyle w:val="25"/>
        <w:spacing w:line="360" w:lineRule="auto"/>
        <w:ind w:firstLine="643"/>
        <w:rPr>
          <w:rFonts w:eastAsia="仿宋_GB2312"/>
          <w:sz w:val="32"/>
          <w:szCs w:val="32"/>
        </w:rPr>
      </w:pPr>
      <w:r>
        <w:rPr>
          <w:rFonts w:eastAsia="仿宋_GB2312"/>
          <w:b/>
          <w:sz w:val="32"/>
          <w:szCs w:val="32"/>
        </w:rPr>
        <w:t>2.深化乡村全域土地综合整治与生态修复工程。</w:t>
      </w:r>
      <w:r>
        <w:rPr>
          <w:rFonts w:eastAsia="仿宋_GB2312"/>
          <w:sz w:val="32"/>
          <w:szCs w:val="32"/>
        </w:rPr>
        <w:t>围绕“农田集中连片、建设集约高效、生态美丽良好”目标，以镇乡（街道）或行政村（社区）为单元，全域规划、系统设计，综合实施村庄整治、农田整治、生态修复。2021年，巍山镇光里湖村、画水镇王凡村、南马镇花园村（环龙）等三个全域土地综合整治项目完成金华市级验收。</w:t>
      </w:r>
    </w:p>
    <w:p>
      <w:pPr>
        <w:pStyle w:val="25"/>
        <w:spacing w:line="360" w:lineRule="auto"/>
        <w:ind w:firstLine="643"/>
        <w:rPr>
          <w:rFonts w:eastAsia="仿宋_GB2312"/>
          <w:sz w:val="32"/>
          <w:szCs w:val="32"/>
        </w:rPr>
      </w:pPr>
      <w:r>
        <w:rPr>
          <w:rFonts w:eastAsia="仿宋_GB2312"/>
          <w:b/>
          <w:sz w:val="32"/>
          <w:szCs w:val="32"/>
        </w:rPr>
        <w:t>3.加大自然资源违法行为管控。</w:t>
      </w:r>
      <w:r>
        <w:rPr>
          <w:rFonts w:eastAsia="仿宋_GB2312"/>
          <w:sz w:val="32"/>
          <w:szCs w:val="32"/>
        </w:rPr>
        <w:t>重点开展农村乱占耕地建房问题专项整治、年度卫片执法、耕地保护例行督察整改、“大棚房”专项整治等工作。2021年，卫片执法完成下发图斑整改29宗，耕地保护例行督察完成下发图斑整改1451个，“大棚房”专项整治组织出动750余人次进行“回头看”核查排查工作，排查农业设施395个。</w:t>
      </w:r>
    </w:p>
    <w:p>
      <w:pPr>
        <w:pStyle w:val="25"/>
        <w:spacing w:line="360" w:lineRule="auto"/>
        <w:ind w:firstLine="643"/>
        <w:rPr>
          <w:rFonts w:eastAsia="仿宋_GB2312"/>
          <w:sz w:val="32"/>
          <w:szCs w:val="32"/>
        </w:rPr>
      </w:pPr>
      <w:r>
        <w:rPr>
          <w:rFonts w:eastAsia="仿宋_GB2312"/>
          <w:b/>
          <w:sz w:val="32"/>
          <w:szCs w:val="32"/>
        </w:rPr>
        <w:t>4.国土绿化卓有成效。</w:t>
      </w:r>
      <w:r>
        <w:rPr>
          <w:rFonts w:eastAsia="仿宋_GB2312"/>
          <w:sz w:val="32"/>
          <w:szCs w:val="32"/>
        </w:rPr>
        <w:t>完成国土绿化7253亩，因土地“非农化”、“非粮化”政策剔除经济林地块后完成4845亩，并通过金华市级对我市国土绿化完成情况的验收。剔除后仍超额完成省级任务4720亩目标，完成率102.7%。</w:t>
      </w:r>
    </w:p>
    <w:p>
      <w:pPr>
        <w:pStyle w:val="25"/>
        <w:spacing w:line="360" w:lineRule="auto"/>
        <w:ind w:firstLine="643"/>
        <w:rPr>
          <w:rFonts w:eastAsia="仿宋_GB2312"/>
          <w:sz w:val="32"/>
          <w:szCs w:val="32"/>
        </w:rPr>
      </w:pPr>
      <w:r>
        <w:rPr>
          <w:rFonts w:eastAsia="仿宋_GB2312"/>
          <w:b/>
          <w:sz w:val="32"/>
          <w:szCs w:val="32"/>
        </w:rPr>
        <w:t>5.严格保护森林资源。</w:t>
      </w:r>
      <w:r>
        <w:rPr>
          <w:rFonts w:eastAsia="仿宋_GB2312"/>
          <w:sz w:val="32"/>
          <w:szCs w:val="32"/>
        </w:rPr>
        <w:t>全面停止天然林商业性采伐341904亩。积极推进天然林保护重点区域确定和县级天然林保护修复实施方案编制工作。加快国有林场高质量发展，完成枯死松木清理9031亩，完成珍贵健康森林建设776亩，补植浙江楠17820株、红豆树16040株，不断提高森林景观与质量；完成香榧基地抚育1444亩，完成白芨裸根种植40亩，三叶青裸根种植12亩、控根和无纺布种植各1.5亩，七叶一枝花裸根种植11.5亩、无纺布种植3.5亩，不断促进林业产业发展，拓宽“两山”理论转换通道；完成香榧基地道路硬化5公里。</w:t>
      </w:r>
    </w:p>
    <w:p>
      <w:pPr>
        <w:adjustRightInd w:val="0"/>
        <w:spacing w:line="360" w:lineRule="auto"/>
        <w:ind w:firstLine="643" w:firstLineChars="200"/>
        <w:jc w:val="left"/>
        <w:rPr>
          <w:rFonts w:ascii="Times New Roman" w:hAnsi="Times New Roman" w:cs="Times New Roman"/>
        </w:rPr>
      </w:pPr>
      <w:r>
        <w:rPr>
          <w:rFonts w:ascii="Times New Roman" w:hAnsi="Times New Roman" w:eastAsia="仿宋_GB2312" w:cs="Times New Roman"/>
          <w:b/>
          <w:snapToGrid w:val="0"/>
          <w:kern w:val="0"/>
          <w:sz w:val="32"/>
          <w:szCs w:val="32"/>
        </w:rPr>
        <w:t>6.完成</w:t>
      </w:r>
      <w:r>
        <w:rPr>
          <w:rFonts w:ascii="Times New Roman" w:hAnsi="Times New Roman" w:eastAsia="仿宋_GB2312" w:cs="Times New Roman"/>
          <w:b/>
          <w:sz w:val="32"/>
          <w:szCs w:val="32"/>
        </w:rPr>
        <w:t>东阳江</w:t>
      </w:r>
      <w:r>
        <w:rPr>
          <w:rFonts w:ascii="Times New Roman" w:hAnsi="Times New Roman" w:eastAsia="仿宋_GB2312" w:cs="Times New Roman"/>
          <w:b/>
          <w:snapToGrid w:val="0"/>
          <w:kern w:val="0"/>
          <w:sz w:val="32"/>
          <w:szCs w:val="32"/>
        </w:rPr>
        <w:t>省级湿地公园提质。</w:t>
      </w:r>
      <w:r>
        <w:rPr>
          <w:rFonts w:ascii="Times New Roman" w:hAnsi="Times New Roman" w:eastAsia="仿宋_GB2312" w:cs="Times New Roman"/>
          <w:snapToGrid w:val="0"/>
          <w:kern w:val="0"/>
          <w:sz w:val="32"/>
          <w:szCs w:val="32"/>
        </w:rPr>
        <w:t>争取到省级专项补助资金330万元，在迎宾大桥以东至广义桥段北岸河道，开展生态修复。整理改造湿地内滩涂，保留原有水生植物，如矮蒲苇、芦苇、聚草、乔木等，同时新种植美人蕉、荷花、芦竹、常绿鸢尾、睡莲等湿生植物，增加生物多样性及整体美观性，湿地生态修复面积达30000m</w:t>
      </w:r>
      <w:r>
        <w:rPr>
          <w:rFonts w:ascii="Times New Roman" w:hAnsi="Times New Roman" w:eastAsia="仿宋_GB2312" w:cs="Times New Roman"/>
          <w:snapToGrid w:val="0"/>
          <w:kern w:val="0"/>
          <w:sz w:val="32"/>
          <w:szCs w:val="32"/>
          <w:vertAlign w:val="superscript"/>
        </w:rPr>
        <w:t>2</w:t>
      </w:r>
      <w:r>
        <w:rPr>
          <w:rFonts w:ascii="Times New Roman" w:hAnsi="Times New Roman" w:eastAsia="仿宋_GB2312" w:cs="Times New Roman"/>
          <w:snapToGrid w:val="0"/>
          <w:kern w:val="0"/>
          <w:sz w:val="32"/>
          <w:szCs w:val="32"/>
        </w:rPr>
        <w:t>；设立湿地宣传标识标牌52块。在市政府前中心湖区域改造提升生态浮岛，面积从660m</w:t>
      </w:r>
      <w:r>
        <w:rPr>
          <w:rFonts w:ascii="Times New Roman" w:hAnsi="Times New Roman" w:eastAsia="仿宋_GB2312" w:cs="Times New Roman"/>
          <w:snapToGrid w:val="0"/>
          <w:kern w:val="0"/>
          <w:sz w:val="32"/>
          <w:szCs w:val="32"/>
          <w:vertAlign w:val="superscript"/>
        </w:rPr>
        <w:t>2</w:t>
      </w:r>
      <w:r>
        <w:rPr>
          <w:rFonts w:ascii="Times New Roman" w:hAnsi="Times New Roman" w:eastAsia="仿宋_GB2312" w:cs="Times New Roman"/>
          <w:snapToGrid w:val="0"/>
          <w:kern w:val="0"/>
          <w:sz w:val="32"/>
          <w:szCs w:val="32"/>
        </w:rPr>
        <w:t>扩展至2400m</w:t>
      </w:r>
      <w:r>
        <w:rPr>
          <w:rFonts w:ascii="Times New Roman" w:hAnsi="Times New Roman" w:eastAsia="仿宋_GB2312" w:cs="Times New Roman"/>
          <w:snapToGrid w:val="0"/>
          <w:kern w:val="0"/>
          <w:sz w:val="32"/>
          <w:szCs w:val="32"/>
          <w:vertAlign w:val="superscript"/>
        </w:rPr>
        <w:t>2</w:t>
      </w:r>
      <w:r>
        <w:rPr>
          <w:rFonts w:ascii="Times New Roman" w:hAnsi="Times New Roman" w:eastAsia="仿宋_GB2312" w:cs="Times New Roman"/>
          <w:snapToGrid w:val="0"/>
          <w:kern w:val="0"/>
          <w:sz w:val="32"/>
          <w:szCs w:val="32"/>
        </w:rPr>
        <w:t>；西边浅滩精品荷花面积从405m</w:t>
      </w:r>
      <w:r>
        <w:rPr>
          <w:rFonts w:ascii="Times New Roman" w:hAnsi="Times New Roman" w:eastAsia="仿宋_GB2312" w:cs="Times New Roman"/>
          <w:snapToGrid w:val="0"/>
          <w:kern w:val="0"/>
          <w:sz w:val="32"/>
          <w:szCs w:val="32"/>
          <w:vertAlign w:val="superscript"/>
        </w:rPr>
        <w:t>2</w:t>
      </w:r>
      <w:r>
        <w:rPr>
          <w:rFonts w:ascii="Times New Roman" w:hAnsi="Times New Roman" w:eastAsia="仿宋_GB2312" w:cs="Times New Roman"/>
          <w:snapToGrid w:val="0"/>
          <w:kern w:val="0"/>
          <w:sz w:val="32"/>
          <w:szCs w:val="32"/>
        </w:rPr>
        <w:t>扩展至1600m</w:t>
      </w:r>
      <w:r>
        <w:rPr>
          <w:rFonts w:ascii="Times New Roman" w:hAnsi="Times New Roman" w:eastAsia="仿宋_GB2312" w:cs="Times New Roman"/>
          <w:snapToGrid w:val="0"/>
          <w:kern w:val="0"/>
          <w:sz w:val="32"/>
          <w:szCs w:val="32"/>
          <w:vertAlign w:val="superscript"/>
        </w:rPr>
        <w:t>2</w:t>
      </w:r>
      <w:r>
        <w:rPr>
          <w:rFonts w:ascii="Times New Roman" w:hAnsi="Times New Roman" w:eastAsia="仿宋_GB2312" w:cs="Times New Roman"/>
          <w:snapToGrid w:val="0"/>
          <w:kern w:val="0"/>
          <w:sz w:val="32"/>
          <w:szCs w:val="32"/>
        </w:rPr>
        <w:t>，极大地提升了湿地公园生态景观。</w:t>
      </w: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（三）持续改善生态环境</w:t>
      </w:r>
    </w:p>
    <w:p>
      <w:pPr>
        <w:adjustRightInd w:val="0"/>
        <w:spacing w:line="360" w:lineRule="auto"/>
        <w:ind w:firstLine="643" w:firstLineChars="200"/>
        <w:jc w:val="left"/>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1.环境质量连创佳绩。</w:t>
      </w:r>
      <w:r>
        <w:rPr>
          <w:rFonts w:ascii="Times New Roman" w:hAnsi="Times New Roman" w:eastAsia="仿宋_GB2312" w:cs="Times New Roman"/>
          <w:snapToGrid w:val="0"/>
          <w:kern w:val="0"/>
          <w:sz w:val="32"/>
          <w:szCs w:val="32"/>
        </w:rPr>
        <w:t>一是大气环境稳于</w:t>
      </w:r>
      <w:r>
        <w:rPr>
          <w:rFonts w:hint="eastAsia" w:ascii="Times New Roman" w:hAnsi="Times New Roman" w:eastAsia="仿宋_GB2312" w:cs="Times New Roman"/>
          <w:snapToGrid w:val="0"/>
          <w:kern w:val="0"/>
          <w:sz w:val="32"/>
          <w:szCs w:val="32"/>
        </w:rPr>
        <w:t>金华</w:t>
      </w:r>
      <w:r>
        <w:rPr>
          <w:rFonts w:ascii="Times New Roman" w:hAnsi="Times New Roman" w:eastAsia="仿宋_GB2312" w:cs="Times New Roman"/>
          <w:snapToGrid w:val="0"/>
          <w:kern w:val="0"/>
          <w:sz w:val="32"/>
          <w:szCs w:val="32"/>
        </w:rPr>
        <w:t>各县市区前列，环境空气质量保持历史最佳，连续四年达到国家二级标准。环境空气质量PM</w:t>
      </w:r>
      <w:r>
        <w:rPr>
          <w:rFonts w:ascii="Times New Roman" w:hAnsi="Times New Roman" w:eastAsia="仿宋_GB2312" w:cs="Times New Roman"/>
          <w:snapToGrid w:val="0"/>
          <w:kern w:val="0"/>
          <w:sz w:val="32"/>
          <w:szCs w:val="32"/>
          <w:vertAlign w:val="subscript"/>
        </w:rPr>
        <w:t>2.5</w:t>
      </w:r>
      <w:r>
        <w:rPr>
          <w:rFonts w:ascii="Times New Roman" w:hAnsi="Times New Roman" w:eastAsia="仿宋_GB2312" w:cs="Times New Roman"/>
          <w:snapToGrid w:val="0"/>
          <w:kern w:val="0"/>
          <w:sz w:val="32"/>
          <w:szCs w:val="32"/>
        </w:rPr>
        <w:t>浓度为22ug/m</w:t>
      </w:r>
      <w:r>
        <w:rPr>
          <w:rFonts w:ascii="Times New Roman" w:hAnsi="Times New Roman" w:eastAsia="仿宋_GB2312" w:cs="Times New Roman"/>
          <w:snapToGrid w:val="0"/>
          <w:kern w:val="0"/>
          <w:sz w:val="32"/>
          <w:szCs w:val="32"/>
          <w:vertAlign w:val="superscript"/>
        </w:rPr>
        <w:t>3</w:t>
      </w:r>
      <w:r>
        <w:rPr>
          <w:rFonts w:ascii="Times New Roman" w:hAnsi="Times New Roman" w:eastAsia="仿宋_GB2312" w:cs="Times New Roman"/>
          <w:snapToGrid w:val="0"/>
          <w:kern w:val="0"/>
          <w:sz w:val="32"/>
          <w:szCs w:val="32"/>
        </w:rPr>
        <w:t>，较去年同期下降了8.3%；空气质量优良率为98.9%；空气综合指数（AQI指数）为3.02，三项指标均排名金华第二。二是水环境达标向上。市控以上地表水断面水质</w:t>
      </w:r>
      <w:r>
        <w:rPr>
          <w:rFonts w:hint="eastAsia" w:ascii="宋体" w:hAnsi="宋体" w:eastAsia="宋体" w:cs="宋体"/>
          <w:snapToGrid w:val="0"/>
          <w:kern w:val="0"/>
          <w:sz w:val="32"/>
          <w:szCs w:val="32"/>
        </w:rPr>
        <w:t>Ⅲ</w:t>
      </w:r>
      <w:r>
        <w:rPr>
          <w:rFonts w:ascii="Times New Roman" w:hAnsi="Times New Roman" w:eastAsia="仿宋_GB2312" w:cs="Times New Roman"/>
          <w:snapToGrid w:val="0"/>
          <w:kern w:val="0"/>
          <w:sz w:val="32"/>
          <w:szCs w:val="32"/>
        </w:rPr>
        <w:t>类水达标率为100%；县级以上饮用水水源地水质达标率达100%；跨行政区域河流出境断面水质考核结果良好。</w:t>
      </w:r>
    </w:p>
    <w:p>
      <w:pPr>
        <w:adjustRightInd w:val="0"/>
        <w:spacing w:line="360" w:lineRule="auto"/>
        <w:ind w:firstLine="643" w:firstLineChars="200"/>
        <w:jc w:val="left"/>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2.无废东阳进展喜人。</w:t>
      </w:r>
      <w:r>
        <w:rPr>
          <w:rFonts w:ascii="Times New Roman" w:hAnsi="Times New Roman" w:eastAsia="仿宋_GB2312" w:cs="Times New Roman"/>
          <w:snapToGrid w:val="0"/>
          <w:kern w:val="0"/>
          <w:sz w:val="32"/>
          <w:szCs w:val="32"/>
        </w:rPr>
        <w:t>“无废城市”创建的32项指标、46项任务和43项工程已全部完成，完成11大类、79个“无废工地”、“无废景区”等“无废城市细胞”创建。总结提炼的“铝灰点对点资源化利用”、“农村生活垃圾智慧化管理”、“建筑之乡行业绿色发展”和“政企合作推进废矿物油资源化利用”等4项东阳经验被全省推广，得到省生态环境厅领导的高度肯定。做好宣传后半篇文章，打响“无废东阳”金字招牌，在浙江“无废城市”建设巡礼栏目刊出4期，省级宣传5篇，金华宣传5篇。创新企业展现“东阳”加速度，美臣新材料打造国内第一条具有完全自主知识产权的大规模产业化工艺与成套设备；二期20万吨/年铝灰资源化利用项目将于年底基本建成，大力铺开铝灰资源化利用规模。全覆盖启用危险废物智能化监管平台，实现固废管理“一个平台一张网”，抽检达标率100%。</w:t>
      </w:r>
    </w:p>
    <w:p>
      <w:pPr>
        <w:pStyle w:val="14"/>
        <w:widowControl/>
        <w:spacing w:beforeAutospacing="0" w:afterAutospacing="0" w:line="360" w:lineRule="auto"/>
        <w:ind w:firstLine="643" w:firstLineChars="200"/>
        <w:rPr>
          <w:rFonts w:ascii="Times New Roman" w:hAnsi="Times New Roman" w:eastAsia="仿宋_GB2312"/>
          <w:snapToGrid w:val="0"/>
          <w:sz w:val="32"/>
          <w:szCs w:val="32"/>
        </w:rPr>
      </w:pPr>
      <w:r>
        <w:rPr>
          <w:rFonts w:ascii="Times New Roman" w:hAnsi="Times New Roman" w:eastAsia="仿宋_GB2312"/>
          <w:b/>
          <w:snapToGrid w:val="0"/>
          <w:sz w:val="32"/>
          <w:szCs w:val="32"/>
        </w:rPr>
        <w:t>3.生态绿色全域铺开。</w:t>
      </w:r>
      <w:r>
        <w:rPr>
          <w:rFonts w:ascii="Times New Roman" w:hAnsi="Times New Roman" w:eastAsia="仿宋_GB2312"/>
          <w:snapToGrid w:val="0"/>
          <w:sz w:val="32"/>
          <w:szCs w:val="32"/>
        </w:rPr>
        <w:t>启动国家级生态文明建设示范市创建，发布实施《深化生态文明示范创建 高水平建设新时代美丽东阳规划纲要（2020-2035年）》、《东阳市生态环境保护“十四五”规划》，创建省级生态文明教育基地1家</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创建金华市</w:t>
      </w:r>
      <w:r>
        <w:rPr>
          <w:rFonts w:hint="eastAsia" w:ascii="Times New Roman" w:hAnsi="Times New Roman" w:eastAsia="仿宋_GB2312"/>
          <w:snapToGrid w:val="0"/>
          <w:sz w:val="32"/>
          <w:szCs w:val="32"/>
        </w:rPr>
        <w:t>生物</w:t>
      </w:r>
      <w:r>
        <w:rPr>
          <w:rFonts w:ascii="Times New Roman" w:hAnsi="Times New Roman" w:eastAsia="仿宋_GB2312"/>
          <w:snapToGrid w:val="0"/>
          <w:sz w:val="32"/>
          <w:szCs w:val="32"/>
        </w:rPr>
        <w:t>多样性</w:t>
      </w:r>
      <w:r>
        <w:rPr>
          <w:rFonts w:hint="eastAsia" w:ascii="Times New Roman" w:hAnsi="Times New Roman" w:eastAsia="仿宋_GB2312"/>
          <w:snapToGrid w:val="0"/>
          <w:sz w:val="32"/>
          <w:szCs w:val="32"/>
        </w:rPr>
        <w:t>特色</w:t>
      </w:r>
      <w:r>
        <w:rPr>
          <w:rFonts w:ascii="Times New Roman" w:hAnsi="Times New Roman" w:eastAsia="仿宋_GB2312"/>
          <w:snapToGrid w:val="0"/>
          <w:sz w:val="32"/>
          <w:szCs w:val="32"/>
        </w:rPr>
        <w:t>体验</w:t>
      </w:r>
      <w:r>
        <w:rPr>
          <w:rFonts w:hint="eastAsia" w:ascii="Times New Roman" w:hAnsi="Times New Roman" w:eastAsia="仿宋_GB2312"/>
          <w:snapToGrid w:val="0"/>
          <w:sz w:val="32"/>
          <w:szCs w:val="32"/>
        </w:rPr>
        <w:t>地1家</w:t>
      </w:r>
      <w:r>
        <w:rPr>
          <w:rFonts w:ascii="Times New Roman" w:hAnsi="Times New Roman" w:eastAsia="仿宋_GB2312"/>
          <w:snapToGrid w:val="0"/>
          <w:sz w:val="32"/>
          <w:szCs w:val="32"/>
        </w:rPr>
        <w:t>。编制“两山”理念实践创新基地建设实施方案，提炼“两山”理念实践成果，挖掘7个以乡镇、村、小流域为单元的“两山”转化典型案例，深入探索具有东阳特色的“两山”转化模式，成为金华首个申报创建国家级“两山”基地的县（市、区）。2021年度</w:t>
      </w:r>
      <w:r>
        <w:rPr>
          <w:rFonts w:hint="eastAsia" w:ascii="Times New Roman" w:hAnsi="Times New Roman" w:eastAsia="仿宋_GB2312"/>
          <w:snapToGrid w:val="0"/>
          <w:sz w:val="32"/>
          <w:szCs w:val="32"/>
        </w:rPr>
        <w:t>我市</w:t>
      </w:r>
      <w:r>
        <w:rPr>
          <w:rFonts w:ascii="Times New Roman" w:hAnsi="Times New Roman" w:eastAsia="仿宋_GB2312"/>
          <w:snapToGrid w:val="0"/>
          <w:sz w:val="32"/>
          <w:szCs w:val="32"/>
        </w:rPr>
        <w:t>生态环境公众满意度创历史最佳成绩</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在全省排名35名，比上一年度提升34位。</w:t>
      </w:r>
    </w:p>
    <w:p>
      <w:pPr>
        <w:pStyle w:val="14"/>
        <w:widowControl/>
        <w:spacing w:beforeAutospacing="0" w:afterAutospacing="0" w:line="360" w:lineRule="auto"/>
        <w:ind w:firstLine="643" w:firstLineChars="200"/>
        <w:rPr>
          <w:rFonts w:ascii="Times New Roman" w:hAnsi="Times New Roman" w:eastAsia="仿宋_GB2312"/>
          <w:color w:val="000000" w:themeColor="text1"/>
          <w:sz w:val="32"/>
          <w:szCs w:val="32"/>
          <w14:textFill>
            <w14:solidFill>
              <w14:schemeClr w14:val="tx1"/>
            </w14:solidFill>
          </w14:textFill>
        </w:rPr>
      </w:pPr>
      <w:r>
        <w:rPr>
          <w:rFonts w:ascii="Times New Roman" w:hAnsi="Times New Roman" w:eastAsia="楷体"/>
          <w:b/>
          <w:bCs/>
          <w:kern w:val="2"/>
          <w:sz w:val="32"/>
          <w:szCs w:val="32"/>
        </w:rPr>
        <w:t>4.全力推进治水提质。</w:t>
      </w:r>
      <w:r>
        <w:rPr>
          <w:rFonts w:ascii="Times New Roman" w:hAnsi="Times New Roman" w:eastAsia="仿宋_GB2312"/>
          <w:sz w:val="32"/>
          <w:szCs w:val="32"/>
        </w:rPr>
        <w:t>高标准推进“污水零直排区”建设，我市6个镇乡街道建设任务，生活小区类295个任务数，建成数为277个；工业企业类任务数为812家，建成数为781家；机关企事业单位、集贸市场任务数为373家</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，建成数为316家。污水处理厂建设加速，第二污水处理厂二期、湖溪污水处理厂、画水竹溪污水处理厂二期主体建设基本完工；横店污水处理厂三期主体建设完成；千祥污水处理厂</w:t>
      </w:r>
      <w:r>
        <w:rPr>
          <w:rFonts w:hint="eastAsia" w:ascii="Times New Roman" w:hAnsi="Times New Roman" w:eastAsia="仿宋_GB2312"/>
          <w:sz w:val="32"/>
          <w:szCs w:val="32"/>
        </w:rPr>
        <w:t>、</w:t>
      </w:r>
      <w:r>
        <w:rPr>
          <w:rFonts w:ascii="Times New Roman" w:hAnsi="Times New Roman" w:eastAsia="仿宋_GB2312"/>
          <w:sz w:val="32"/>
          <w:szCs w:val="32"/>
        </w:rPr>
        <w:t>南马一期改扩建项目</w:t>
      </w:r>
      <w:r>
        <w:rPr>
          <w:rFonts w:hint="eastAsia" w:ascii="Times New Roman" w:hAnsi="Times New Roman" w:eastAsia="仿宋_GB2312"/>
          <w:sz w:val="32"/>
          <w:szCs w:val="32"/>
        </w:rPr>
        <w:t>、</w:t>
      </w:r>
      <w:r>
        <w:rPr>
          <w:rFonts w:ascii="Times New Roman" w:hAnsi="Times New Roman" w:eastAsia="仿宋_GB2312"/>
          <w:sz w:val="32"/>
          <w:szCs w:val="32"/>
        </w:rPr>
        <w:t>画水竹溪污水处理厂</w:t>
      </w:r>
      <w:r>
        <w:rPr>
          <w:rFonts w:hint="eastAsia" w:ascii="Times New Roman" w:hAnsi="Times New Roman" w:eastAsia="仿宋_GB2312"/>
          <w:sz w:val="32"/>
          <w:szCs w:val="32"/>
        </w:rPr>
        <w:t>、</w:t>
      </w:r>
      <w:r>
        <w:rPr>
          <w:rFonts w:ascii="Times New Roman" w:hAnsi="Times New Roman" w:eastAsia="仿宋_GB2312"/>
          <w:color w:val="000000" w:themeColor="text1"/>
          <w:sz w:val="32"/>
          <w:szCs w:val="32"/>
          <w14:textFill>
            <w14:solidFill>
              <w14:schemeClr w14:val="tx1"/>
            </w14:solidFill>
          </w14:textFill>
        </w:rPr>
        <w:t>湖溪污水处理厂</w:t>
      </w:r>
      <w:r>
        <w:rPr>
          <w:rFonts w:hint="eastAsia" w:ascii="Times New Roman" w:hAnsi="Times New Roman" w:eastAsia="仿宋_GB2312"/>
          <w:color w:val="000000" w:themeColor="text1"/>
          <w:sz w:val="32"/>
          <w:szCs w:val="32"/>
          <w14:textFill>
            <w14:solidFill>
              <w14:schemeClr w14:val="tx1"/>
            </w14:solidFill>
          </w14:textFill>
        </w:rPr>
        <w:t>等</w:t>
      </w:r>
      <w:r>
        <w:rPr>
          <w:rFonts w:ascii="Times New Roman" w:hAnsi="Times New Roman" w:eastAsia="仿宋_GB2312"/>
          <w:color w:val="000000" w:themeColor="text1"/>
          <w:sz w:val="32"/>
          <w:szCs w:val="32"/>
          <w14:textFill>
            <w14:solidFill>
              <w14:schemeClr w14:val="tx1"/>
            </w14:solidFill>
          </w14:textFill>
        </w:rPr>
        <w:t>配套</w:t>
      </w:r>
      <w:r>
        <w:rPr>
          <w:rFonts w:hint="eastAsia" w:ascii="Times New Roman" w:hAnsi="Times New Roman" w:eastAsia="仿宋_GB2312"/>
          <w:color w:val="000000" w:themeColor="text1"/>
          <w:sz w:val="32"/>
          <w:szCs w:val="32"/>
          <w14:textFill>
            <w14:solidFill>
              <w14:schemeClr w14:val="tx1"/>
            </w14:solidFill>
          </w14:textFill>
        </w:rPr>
        <w:t>管网工程</w:t>
      </w:r>
      <w:r>
        <w:rPr>
          <w:rFonts w:ascii="Times New Roman" w:hAnsi="Times New Roman" w:eastAsia="仿宋_GB2312"/>
          <w:color w:val="000000" w:themeColor="text1"/>
          <w:sz w:val="32"/>
          <w:szCs w:val="32"/>
          <w14:textFill>
            <w14:solidFill>
              <w14:schemeClr w14:val="tx1"/>
            </w14:solidFill>
          </w14:textFill>
        </w:rPr>
        <w:t>有序推进。</w:t>
      </w:r>
    </w:p>
    <w:p>
      <w:pPr>
        <w:adjustRightInd w:val="0"/>
        <w:spacing w:line="360" w:lineRule="auto"/>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5.加强水土流失治理。</w:t>
      </w:r>
      <w:r>
        <w:rPr>
          <w:rFonts w:ascii="Times New Roman" w:hAnsi="Times New Roman" w:eastAsia="仿宋_GB2312" w:cs="Times New Roman"/>
          <w:kern w:val="0"/>
          <w:sz w:val="32"/>
          <w:szCs w:val="32"/>
        </w:rPr>
        <w:t>深入推进河湖“清四乱”常态化、规范化，完成农村河道治理项目14个，河道疏浚整治3.665公里，中小河流治理7公里。南江湖溪段美丽河湖创建通过市级验收，六石街道完成水美乡镇创建并通过验收，10座美丽山塘的创建工作，已通过县级初评。对我市28项生产建设项目进行水土保持监督检查93次，共审批开发建设项目水土保持方案135个，并对8个重大项目水土保持治理进行验收，开展已完工的建设项目业务指导57批次。2021年共完成水土流失治理面积7.3万平方公里。</w:t>
      </w:r>
    </w:p>
    <w:p>
      <w:pPr>
        <w:adjustRightInd w:val="0"/>
        <w:spacing w:line="360" w:lineRule="auto"/>
        <w:ind w:firstLine="643" w:firstLineChars="200"/>
        <w:rPr>
          <w:rFonts w:ascii="Times New Roman" w:hAnsi="Times New Roman" w:eastAsia="仿宋_GB2312" w:cs="Times New Roman"/>
          <w:kern w:val="0"/>
          <w:sz w:val="32"/>
          <w:szCs w:val="32"/>
        </w:rPr>
      </w:pPr>
      <w:r>
        <w:rPr>
          <w:rFonts w:ascii="Times New Roman" w:hAnsi="Times New Roman" w:eastAsia="仿宋_GB2312" w:cs="Times New Roman"/>
          <w:b/>
          <w:kern w:val="0"/>
          <w:sz w:val="32"/>
          <w:szCs w:val="32"/>
        </w:rPr>
        <w:t>6.推动碳达峰碳中和。</w:t>
      </w:r>
      <w:r>
        <w:rPr>
          <w:rFonts w:ascii="Times New Roman" w:hAnsi="Times New Roman" w:eastAsia="仿宋_GB2312" w:cs="Times New Roman"/>
          <w:kern w:val="0"/>
          <w:sz w:val="32"/>
          <w:szCs w:val="32"/>
        </w:rPr>
        <w:t>2021年7月</w:t>
      </w:r>
      <w:r>
        <w:rPr>
          <w:rFonts w:hint="eastAsia" w:ascii="Times New Roman" w:hAnsi="Times New Roman" w:eastAsia="仿宋_GB2312" w:cs="Times New Roman"/>
          <w:kern w:val="0"/>
          <w:sz w:val="32"/>
          <w:szCs w:val="32"/>
        </w:rPr>
        <w:t>市委、市政府</w:t>
      </w:r>
      <w:r>
        <w:rPr>
          <w:rFonts w:ascii="Times New Roman" w:hAnsi="Times New Roman" w:eastAsia="仿宋_GB2312" w:cs="Times New Roman"/>
          <w:kern w:val="0"/>
          <w:sz w:val="32"/>
          <w:szCs w:val="32"/>
        </w:rPr>
        <w:t>成立东阳市碳达峰碳中和工作领导小组。10月28日印发《东阳市碳达峰碳中和工作领导小组办公室 关于印发&lt;东阳市碳达峰碳中和工作专班方案&gt;的通知》，碳达峰碳中和行动方案编制提上日程。</w:t>
      </w:r>
    </w:p>
    <w:p>
      <w:pPr>
        <w:adjustRightInd w:val="0"/>
        <w:spacing w:line="360" w:lineRule="auto"/>
        <w:ind w:firstLine="643" w:firstLineChars="200"/>
        <w:rPr>
          <w:rFonts w:ascii="Times New Roman" w:hAnsi="Times New Roman" w:eastAsia="楷体" w:cs="Times New Roman"/>
          <w:b/>
          <w:bCs/>
          <w:sz w:val="32"/>
          <w:szCs w:val="32"/>
        </w:rPr>
      </w:pPr>
      <w:r>
        <w:rPr>
          <w:rFonts w:ascii="Times New Roman" w:hAnsi="Times New Roman" w:eastAsia="仿宋_GB2312" w:cs="Times New Roman"/>
          <w:b/>
          <w:bCs/>
          <w:sz w:val="32"/>
          <w:szCs w:val="32"/>
        </w:rPr>
        <w:t>7.督察整改分秒必争。</w:t>
      </w:r>
      <w:r>
        <w:rPr>
          <w:rFonts w:ascii="Times New Roman" w:hAnsi="Times New Roman" w:eastAsia="仿宋" w:cs="Times New Roman"/>
          <w:sz w:val="32"/>
          <w:szCs w:val="32"/>
        </w:rPr>
        <w:t>纵深推进中央、省委环保督察，两轮中央督察、一轮省委督察反馈的38项问题，已完成整改35项，已销号32项；交办的392件信访件，已完成销号390件，剩余2件。高标准、高质量、高效率落实省委生态环境保护二轮专项督察迎检，梳理规整问题清单，积极开展自查和专题迎检工作，</w:t>
      </w:r>
      <w:r>
        <w:rPr>
          <w:rFonts w:ascii="Times New Roman" w:hAnsi="Times New Roman" w:eastAsia="仿宋" w:cs="Times New Roman"/>
          <w:snapToGrid w:val="0"/>
          <w:kern w:val="0"/>
          <w:sz w:val="32"/>
          <w:szCs w:val="32"/>
        </w:rPr>
        <w:t>顺利通过省委生态环保专项督察</w:t>
      </w:r>
      <w:r>
        <w:rPr>
          <w:rFonts w:ascii="Times New Roman" w:hAnsi="Times New Roman" w:eastAsia="仿宋" w:cs="Times New Roman"/>
          <w:sz w:val="32"/>
          <w:szCs w:val="32"/>
        </w:rPr>
        <w:t>。实施家具行业环保整治再提升，</w:t>
      </w:r>
      <w:r>
        <w:rPr>
          <w:rFonts w:ascii="Times New Roman" w:hAnsi="Times New Roman" w:eastAsia="仿宋" w:cs="Times New Roman"/>
          <w:snapToGrid w:val="0"/>
          <w:kern w:val="0"/>
          <w:sz w:val="32"/>
          <w:szCs w:val="32"/>
        </w:rPr>
        <w:t>全力推进“源头再减量、设施再提升、集聚再扩张、监管再强化、扶持再加大”五大专项行动</w:t>
      </w:r>
      <w:r>
        <w:rPr>
          <w:rFonts w:ascii="Times New Roman" w:hAnsi="Times New Roman" w:eastAsia="仿宋" w:cs="Times New Roman"/>
          <w:sz w:val="32"/>
          <w:szCs w:val="32"/>
        </w:rPr>
        <w:t>。全年完成家具企业油改水295家，高效设施改造307家，完成率为85%。</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z w:val="32"/>
          <w:szCs w:val="32"/>
          <w:lang w:bidi="ar"/>
        </w:rPr>
      </w:pPr>
      <w:r>
        <w:rPr>
          <w:rFonts w:ascii="Times New Roman" w:hAnsi="Times New Roman" w:eastAsia="仿宋_GB2312" w:cs="Times New Roman"/>
          <w:b/>
          <w:bCs/>
          <w:sz w:val="32"/>
          <w:szCs w:val="32"/>
        </w:rPr>
        <w:t>8.走企入户强化服务。</w:t>
      </w:r>
      <w:r>
        <w:rPr>
          <w:rFonts w:ascii="Times New Roman" w:hAnsi="Times New Roman" w:eastAsia="仿宋_GB2312" w:cs="Times New Roman"/>
          <w:sz w:val="32"/>
          <w:szCs w:val="32"/>
        </w:rPr>
        <w:t>开展企业“三服务”活动，排查企业在项目审批、排污排放、污染治理、无废工厂创建等方面难点问题，做好政策解答和帮扶，助力企业增强发展动能。全年排查解决企业困难问题94个，开展产前服务活动42次。多次跑省进金汇报对接孚诺医药、野风生猪养殖等重点项目落地，对野风药业、海森药业、中科磁业等拟上市企业涉环保政策予以暖心服务。</w:t>
      </w:r>
      <w:r>
        <w:rPr>
          <w:rFonts w:ascii="Times New Roman" w:hAnsi="Times New Roman" w:eastAsia="仿宋_GB2312" w:cs="Times New Roman"/>
          <w:sz w:val="32"/>
          <w:szCs w:val="32"/>
          <w:lang w:bidi="ar"/>
        </w:rPr>
        <w:t>举办四期300余人次参加的企业相关负责人生态环境保护警示教育暨生态环保业务专题培训会，切实增强政企交互水平。</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9.生态</w:t>
      </w:r>
      <w:r>
        <w:rPr>
          <w:rFonts w:hint="eastAsia" w:ascii="Times New Roman" w:hAnsi="Times New Roman" w:eastAsia="仿宋_GB2312" w:cs="Times New Roman"/>
          <w:b/>
          <w:bCs/>
          <w:sz w:val="32"/>
          <w:szCs w:val="32"/>
        </w:rPr>
        <w:t>队伍</w:t>
      </w:r>
      <w:r>
        <w:rPr>
          <w:rFonts w:ascii="Times New Roman" w:hAnsi="Times New Roman" w:eastAsia="仿宋_GB2312" w:cs="Times New Roman"/>
          <w:b/>
          <w:bCs/>
          <w:sz w:val="32"/>
          <w:szCs w:val="32"/>
        </w:rPr>
        <w:t>战功煊赫。</w:t>
      </w:r>
      <w:r>
        <w:rPr>
          <w:rFonts w:ascii="Times New Roman" w:hAnsi="Times New Roman" w:eastAsia="仿宋_GB2312" w:cs="Times New Roman"/>
          <w:sz w:val="32"/>
          <w:szCs w:val="32"/>
        </w:rPr>
        <w:t>市生态环境局东阳分局荣获生态环境部“2020年全国生态环境保护执法大练兵突出集体”称号，1名同志获得全国生态环境保护执法大练兵表现优异个人。获得美丽金华生态文明建设成绩突出集体，2名同志获得美丽金华建设成绩突出先进个人。局机关党委获评市先进基层党组织，各有1名同志获评市优秀共产党员、金华市“最美环保人”、“东阳市优秀青年”荣誉称号、全国固定污染源排污许可全覆盖工作表现突出个人、省五水共治个人二等功。</w:t>
      </w:r>
    </w:p>
    <w:p>
      <w:pPr>
        <w:pStyle w:val="2"/>
        <w:rPr>
          <w:rFonts w:hint="eastAsia"/>
          <w:lang w:val="en-US"/>
        </w:rPr>
      </w:pP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（四）大力发展绿色经济</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1.推进塑料污染治理。</w:t>
      </w:r>
      <w:r>
        <w:rPr>
          <w:rFonts w:ascii="Times New Roman" w:hAnsi="Times New Roman" w:eastAsia="仿宋_GB2312" w:cs="Times New Roman"/>
          <w:bCs/>
          <w:sz w:val="32"/>
          <w:szCs w:val="32"/>
        </w:rPr>
        <w:t>印发《东阳市进一步加强塑料污染治理实施办法》、《东阳市推进塑料污染治理三年攻坚行动工作专班方案》等文件，明确责任，建立治理推进机制。落实塑料制品禁限目录规定，禁止审批、核准、备案禁限范围内的新建、改建、扩建塑料制品禁限项目。农贸市场、商超、餐饮、住宿、快递、农业等重点行业、重点领域禁限使用不可降解塑料制品。</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2.强化资源节约利用。</w:t>
      </w:r>
      <w:r>
        <w:rPr>
          <w:rFonts w:ascii="Times New Roman" w:hAnsi="Times New Roman" w:eastAsia="仿宋_GB2312" w:cs="Times New Roman"/>
          <w:bCs/>
          <w:sz w:val="32"/>
          <w:szCs w:val="32"/>
        </w:rPr>
        <w:t>开展能源双控工作，落实做好重点用能单位节能目标考核。积极开展清洁生产审核，全年共完成清洁生产审核企业14家，超额“完成清洁生产审核企业5家以上”的目标任务，提高我市绿色生产水平。</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3.推进全域旅游发展。</w:t>
      </w:r>
      <w:r>
        <w:rPr>
          <w:rFonts w:ascii="Times New Roman" w:hAnsi="Times New Roman" w:eastAsia="仿宋_GB2312" w:cs="Times New Roman"/>
          <w:bCs/>
          <w:sz w:val="32"/>
          <w:szCs w:val="32"/>
        </w:rPr>
        <w:t>扎实推进省A级景区镇创建，先后组织南市街道、横店镇、等10个镇乡街道旅游分管领导及联络员参加省A级景区镇创建推进会与现场会，明确创建任务时间节点与重点工作任务。继续开展省A级景区村庄创建，在前期走访调研基础上，邀请浙师大、金职院文化旅游专家对相关镇乡街道、村庄开展创建培训，制定创建提升方案，顺利完成6个3A级景区村庄、19个2A级景区村庄、27个1A级景区村庄现场验收。推动卢宅创建国家4A级旅游景区。推动共享田园创建国家3A级旅游景区。指导横店未来景区改革试点建设。</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4.持续推进测土配方。</w:t>
      </w:r>
      <w:r>
        <w:rPr>
          <w:rFonts w:ascii="Times New Roman" w:hAnsi="Times New Roman" w:eastAsia="仿宋_GB2312" w:cs="Times New Roman"/>
          <w:bCs/>
          <w:sz w:val="32"/>
          <w:szCs w:val="32"/>
        </w:rPr>
        <w:t>积极争取财政支持推广配方肥、有机无机复混肥等新型肥料，编制发布《2021年东阳市配方肥推广应用实施方案》，对使用主推配方肥的农户给予200元/吨的补贴。发布定额制示范方实施方案，建设化肥定额制示范方5个，累计示范面积880亩，并设立标识牌，一个示范方至少有一套化肥减量技术模式，以集成展示。推广绿色防控和统防统治，使用高效环保农药。2021年完成化肥减量31吨，农药减量8吨。</w:t>
      </w:r>
    </w:p>
    <w:p>
      <w:pPr>
        <w:spacing w:line="360" w:lineRule="auto"/>
        <w:ind w:firstLine="643" w:firstLineChars="200"/>
        <w:rPr>
          <w:rFonts w:ascii="Times New Roman" w:hAnsi="Times New Roman" w:cs="Times New Roman"/>
        </w:rPr>
      </w:pPr>
      <w:r>
        <w:rPr>
          <w:rFonts w:ascii="Times New Roman" w:hAnsi="Times New Roman" w:eastAsia="仿宋_GB2312" w:cs="Times New Roman"/>
          <w:b/>
          <w:bCs/>
          <w:sz w:val="32"/>
          <w:szCs w:val="32"/>
        </w:rPr>
        <w:t>5.积极推行农牧结合。</w:t>
      </w:r>
      <w:r>
        <w:rPr>
          <w:rFonts w:ascii="Times New Roman" w:hAnsi="Times New Roman" w:eastAsia="仿宋_GB2312" w:cs="Times New Roman"/>
          <w:bCs/>
          <w:sz w:val="32"/>
          <w:szCs w:val="32"/>
        </w:rPr>
        <w:t>全面建立畜牧业与种植业、林业对接的消纳模式，做到土地消纳与畜禽养殖粪污利用点对点、量对量、时对时的有效对接。加强技术指导，支持在田间地头建设储肥池和输送管网等基础设施，打通粪肥还田利用“最后一公里”问题。如东阳市皇野生态有限公司与5000余亩种植基地紧密对接，建设农牧对接循环体，每年投入100多万元用于车辆运输、人员工资、设备养护维修等，大大提高了畜粪污资源化利用水平。对存栏量较大，就近消纳面积不够的养殖场，与果园、蔬菜、苗木、香榧等种植基地对接，签订沼液消纳利用协议，开展沼液异地配送，市财政给予每吨20元的运费补贴。养殖场均在动检通APP上建立动态电子排泄物利用台帐，2021年建立书面台帐。全市畜禽粪污资源化利用率达到98%以上。</w:t>
      </w:r>
    </w:p>
    <w:p>
      <w:pPr>
        <w:spacing w:line="360" w:lineRule="auto"/>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6.深化畜禽养殖污染治理。</w:t>
      </w:r>
      <w:r>
        <w:rPr>
          <w:rFonts w:ascii="Times New Roman" w:hAnsi="Times New Roman" w:eastAsia="仿宋_GB2312" w:cs="Times New Roman"/>
          <w:sz w:val="32"/>
          <w:szCs w:val="32"/>
        </w:rPr>
        <w:t>坚持生态建设优先、种养结合平衡、污染防治并重的原则，加快构建畜牧业绿色发展新格局，进一步推进畜牧业转型升级。2021年，成功创建省级美丽生态牧场6家，绿色循环体2家，国家级标准化养殖场示范场3家，省级标准化养殖场示范场1家，省级生猪精品园4家。</w:t>
      </w: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（五）提倡绿色生态生活</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shd w:val="clear" w:color="auto" w:fill="FFFFFF"/>
        </w:rPr>
        <w:t>1.</w:t>
      </w:r>
      <w:r>
        <w:rPr>
          <w:rFonts w:ascii="Times New Roman" w:hAnsi="Times New Roman" w:eastAsia="仿宋_GB2312" w:cs="Times New Roman"/>
          <w:b/>
          <w:bCs/>
          <w:sz w:val="32"/>
          <w:szCs w:val="32"/>
        </w:rPr>
        <w:t xml:space="preserve"> 加大生态文明宣传。</w:t>
      </w:r>
      <w:r>
        <w:rPr>
          <w:rFonts w:ascii="Times New Roman" w:hAnsi="Times New Roman" w:eastAsia="仿宋_GB2312" w:cs="Times New Roman"/>
          <w:sz w:val="32"/>
          <w:szCs w:val="32"/>
          <w:lang w:bidi="ar"/>
        </w:rPr>
        <w:t>以世界环境日、国际生物多样性日等节点开展环保主题宣传，丰富送法进企、环保设施公众开放、发放宣传册等载体，将生态绿传递全城。通过《东阳日报》、公众号等形式推送提升公众生态满意度。</w:t>
      </w:r>
      <w:r>
        <w:rPr>
          <w:rFonts w:ascii="Times New Roman" w:hAnsi="Times New Roman" w:eastAsia="仿宋_GB2312" w:cs="Times New Roman"/>
          <w:sz w:val="32"/>
          <w:szCs w:val="32"/>
          <w:shd w:val="clear" w:color="auto" w:fill="FFFFFF"/>
        </w:rPr>
        <w:t>利用</w:t>
      </w:r>
      <w:r>
        <w:rPr>
          <w:rFonts w:hint="eastAsia" w:ascii="Times New Roman" w:hAnsi="Times New Roman" w:eastAsia="仿宋_GB2312" w:cs="Times New Roman"/>
          <w:sz w:val="32"/>
          <w:szCs w:val="32"/>
          <w:shd w:val="clear" w:color="auto" w:fill="FFFFFF"/>
        </w:rPr>
        <w:t>公交</w:t>
      </w:r>
      <w:r>
        <w:rPr>
          <w:rFonts w:ascii="Times New Roman" w:hAnsi="Times New Roman" w:eastAsia="仿宋_GB2312" w:cs="Times New Roman"/>
          <w:sz w:val="32"/>
          <w:szCs w:val="32"/>
          <w:shd w:val="clear" w:color="auto" w:fill="FFFFFF"/>
        </w:rPr>
        <w:t>场站电子屏和站台的电子站牌滚动发布建设美丽东阳宣传标语 “人民城市人民建，建好城市为人民”、“市民素质高一分，城市形象美十分”、“文明是城市最美的名片，和谐是你我最高的追求”。</w:t>
      </w:r>
      <w:r>
        <w:rPr>
          <w:rFonts w:ascii="Times New Roman" w:hAnsi="Times New Roman" w:eastAsia="仿宋_GB2312" w:cs="Times New Roman"/>
          <w:sz w:val="32"/>
          <w:szCs w:val="32"/>
        </w:rPr>
        <w:t>通过各</w:t>
      </w:r>
      <w:r>
        <w:rPr>
          <w:rFonts w:hint="eastAsia" w:ascii="Times New Roman" w:hAnsi="Times New Roman" w:eastAsia="仿宋_GB2312" w:cs="Times New Roman"/>
          <w:sz w:val="32"/>
          <w:szCs w:val="32"/>
        </w:rPr>
        <w:t>公交</w:t>
      </w:r>
      <w:r>
        <w:rPr>
          <w:rFonts w:ascii="Times New Roman" w:hAnsi="Times New Roman" w:eastAsia="仿宋_GB2312" w:cs="Times New Roman"/>
          <w:sz w:val="32"/>
          <w:szCs w:val="32"/>
        </w:rPr>
        <w:t>场站LED电子屏和站台电子站牌向乘客宣传建设美丽东阳、生态文明等内容，营造浓厚的宣传氛围，引导市民自觉加入</w:t>
      </w:r>
      <w:r>
        <w:rPr>
          <w:rFonts w:ascii="Times New Roman" w:hAnsi="Times New Roman" w:eastAsia="仿宋_GB2312" w:cs="Times New Roman"/>
          <w:sz w:val="32"/>
          <w:szCs w:val="32"/>
          <w:shd w:val="clear" w:color="auto" w:fill="FFFFFF"/>
        </w:rPr>
        <w:t>建设美丽东阳活动中来</w:t>
      </w:r>
      <w:r>
        <w:rPr>
          <w:rFonts w:ascii="Times New Roman" w:hAnsi="Times New Roman" w:eastAsia="仿宋_GB2312" w:cs="Times New Roman"/>
          <w:sz w:val="32"/>
          <w:szCs w:val="32"/>
        </w:rPr>
        <w:t>。</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2.改造城镇老旧小区。</w:t>
      </w:r>
      <w:r>
        <w:rPr>
          <w:rFonts w:ascii="Times New Roman" w:hAnsi="Times New Roman" w:eastAsia="仿宋_GB2312" w:cs="Times New Roman"/>
          <w:bCs/>
          <w:sz w:val="32"/>
          <w:szCs w:val="32"/>
        </w:rPr>
        <w:t>开展3个老旧小区的改造工作，其中吴宁街道2个，白云街道1个，共涉及565户，26栋，改造面积5.95万平方米。总投入6500万元，主要为房屋外立面、道路、绿化、管线改造以及垃圾分类、停车位、宣传栏等基础设施改造。</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3.推进美丽城镇建设。</w:t>
      </w:r>
      <w:r>
        <w:rPr>
          <w:rFonts w:ascii="Times New Roman" w:hAnsi="Times New Roman" w:eastAsia="仿宋_GB2312" w:cs="Times New Roman"/>
          <w:bCs/>
          <w:sz w:val="32"/>
          <w:szCs w:val="32"/>
        </w:rPr>
        <w:t>城东街道、花园村、两个文旅型省级样板镇创建于2021年7月份完成省级考核；歌山镇文旅型样板镇于2021年9月份完成省级考核；六石街道工业特色型样板镇于2021年11月完成省级考核，南市街道、画水镇、东阳江镇、马宅镇、佐村镇、三单乡于2021年10月份完成金华市级考核，其中南市街道、东阳江镇于2021年11月完成省级考核。</w:t>
      </w:r>
    </w:p>
    <w:p>
      <w:pPr>
        <w:spacing w:line="360" w:lineRule="auto"/>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4.推进餐饮油烟治理。</w:t>
      </w:r>
      <w:r>
        <w:rPr>
          <w:rFonts w:ascii="Times New Roman" w:hAnsi="Times New Roman" w:eastAsia="仿宋_GB2312" w:cs="Times New Roman"/>
          <w:bCs/>
          <w:sz w:val="32"/>
          <w:szCs w:val="32"/>
        </w:rPr>
        <w:t>督促我市餐饮企业落实油烟净化设施日常清洗维护制度，加大对饮食服务业排污行为的监督检查与行政处罚。在前期拉网式摸底排查和建立“一户一档”的基础上，不定期对辖区内餐饮单位进行全方位排查，持续完善餐饮单位“一户一档”台账，摸查全市共有产生油烟的餐饮单位2448家。通过“互联网+执法”等方式，由网格人员对餐饮单位油烟净化装置规范安装情况、使用状况、清洗频次进行不定期抽查，做到油烟净化设施安装率和清洗率100%。聘请第三方检测机构，对部分餐饮单位的油烟排放情况进行专业检测，确保餐饮油烟达标排放。对于未按要求整改的餐饮单位，在按照相关法律条款从严查处的同时，进行媒体曝光，真正起到“处罚一人，教育一批”的效果。在全市首批30家餐饮单位开展油烟在线监测试点工作，通过“感知—监测—分析—统计—运维”为一体化的油烟大数据监测平台，精准发现各类餐饮油烟污染问题，实现智能化油烟治理。</w:t>
      </w:r>
    </w:p>
    <w:p>
      <w:pPr>
        <w:spacing w:line="360" w:lineRule="auto"/>
        <w:ind w:firstLine="643" w:firstLineChars="200"/>
        <w:rPr>
          <w:rFonts w:ascii="Times New Roman" w:hAnsi="Times New Roman" w:eastAsia="仿宋_GB2312" w:cs="Times New Roman"/>
          <w:bCs/>
          <w:sz w:val="32"/>
        </w:rPr>
      </w:pPr>
      <w:r>
        <w:rPr>
          <w:rFonts w:ascii="Times New Roman" w:hAnsi="Times New Roman" w:eastAsia="仿宋_GB2312" w:cs="Times New Roman"/>
          <w:b/>
          <w:bCs/>
          <w:sz w:val="32"/>
          <w:szCs w:val="32"/>
        </w:rPr>
        <w:t>5.推进卫生城镇创建。</w:t>
      </w:r>
      <w:r>
        <w:rPr>
          <w:rFonts w:ascii="Times New Roman" w:hAnsi="Times New Roman" w:eastAsia="仿宋_GB2312" w:cs="Times New Roman"/>
          <w:bCs/>
          <w:sz w:val="32"/>
          <w:szCs w:val="32"/>
        </w:rPr>
        <w:t>2021年国家爱卫办对我市进行第二轮评估暗访工作，经过全市机关干部、群众的共同努力，我市如期完成相关工作。另外，千祥、马宅以及画水启动国家卫生乡镇创建工作，横店镇迎接国卫镇复审工作，以上四个镇乡已经全部顺利通过省级暗访。</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6.生活垃圾分类示范。</w:t>
      </w:r>
      <w:r>
        <w:rPr>
          <w:rFonts w:ascii="Times New Roman" w:hAnsi="Times New Roman" w:eastAsia="仿宋_GB2312" w:cs="Times New Roman"/>
          <w:bCs/>
          <w:sz w:val="32"/>
          <w:szCs w:val="32"/>
        </w:rPr>
        <w:t>规范建筑垃圾清运处置工作，大力推动建筑垃圾资源化利用。加大对建筑工地渣土车的道路运输漏、撒行为执法检查力度。完成吴宁街道东方小区、江南名都、新兴一品，白云街道九龙公馆、江南名邸、金鼎名苑，江北街道碧水名府、汇豪名邸、下宅口小区等9个省级高标准示范小区创建，并通过金华市级验收。完成新建吴宁街道孙村点、歌山镇尚侃村点、南马镇工业区点、横店镇莲塘村点四家建筑垃圾资源化利用中心，极大提高我市建筑资源化利用效率。</w:t>
      </w: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（六）积极培育生态文化</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1.完成“文化基因解码工程”年度任务。</w:t>
      </w:r>
      <w:r>
        <w:rPr>
          <w:rFonts w:ascii="Times New Roman" w:hAnsi="Times New Roman" w:eastAsia="仿宋_GB2312" w:cs="Times New Roman"/>
          <w:bCs/>
          <w:sz w:val="32"/>
          <w:szCs w:val="32"/>
        </w:rPr>
        <w:t>依托东阳“三乡一城”文化资源，系统梳理中华优秀传统文化、革命文化和社会主义先进文化3个主类、28个亚类、106个基本类型，共673个文化元素。完成东阳20项重点文化元素的基因解码，编制完成《东阳市文化基因解码报告》，建成东阳市文化基因馆。</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2.推动文化标识项目培育建设。</w:t>
      </w:r>
      <w:r>
        <w:rPr>
          <w:rFonts w:ascii="Times New Roman" w:hAnsi="Times New Roman" w:eastAsia="仿宋_GB2312" w:cs="Times New Roman"/>
          <w:bCs/>
          <w:sz w:val="32"/>
          <w:szCs w:val="32"/>
        </w:rPr>
        <w:t>深化文化基因解码成果转化利用，做好“文化基因解码工程”后半篇文章。围绕典型性、影响力、辨识度、发展优势、转化潜力等标准，精准提炼、科学整合东阳文化标识。筛选申报东阳百工文化、东阳木雕文化、东阳影视文化3个代表东阳影响力、具备东阳辨识度、拥有成熟产业基础的东阳文化标识。围绕东阳20项重点文化元素进行文化基因转化利用策划，共梳理和谋划已建、在建、规划项目101个。</w:t>
      </w:r>
    </w:p>
    <w:p>
      <w:pPr>
        <w:pStyle w:val="2"/>
        <w:rPr>
          <w:rFonts w:ascii="Times New Roman" w:hAnsi="Times New Roman" w:cs="Times New Roman"/>
          <w:lang w:val="en-US"/>
        </w:rPr>
      </w:pPr>
    </w:p>
    <w:p>
      <w:pPr>
        <w:pStyle w:val="23"/>
        <w:widowControl w:val="0"/>
        <w:spacing w:before="156" w:beforeLines="50" w:line="360" w:lineRule="auto"/>
        <w:ind w:firstLine="643" w:firstLineChars="200"/>
        <w:rPr>
          <w:rFonts w:eastAsia="仿宋_GB2312"/>
          <w:b/>
          <w:snapToGrid w:val="0"/>
          <w:sz w:val="32"/>
          <w:szCs w:val="32"/>
        </w:rPr>
      </w:pPr>
      <w:r>
        <w:rPr>
          <w:rFonts w:eastAsia="仿宋_GB2312"/>
          <w:b/>
          <w:snapToGrid w:val="0"/>
          <w:sz w:val="32"/>
          <w:szCs w:val="32"/>
        </w:rPr>
        <w:t>二、2022年工作计划</w:t>
      </w: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（一）强化环境治理司法保障</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1.设立环境资源审判庭，建立专门化环境资源审判体系。</w:t>
      </w:r>
      <w:r>
        <w:rPr>
          <w:rFonts w:ascii="Times New Roman" w:hAnsi="Times New Roman" w:eastAsia="仿宋_GB2312" w:cs="Times New Roman"/>
          <w:bCs/>
          <w:sz w:val="32"/>
          <w:szCs w:val="32"/>
        </w:rPr>
        <w:t>根据本市实际，结合辖区内环境保护、资源利用的现实需要和环境资源案件类型、数量、特点，统筹适用刑事、民事、行政三种责任方式，全面推广环境资源案件“三合一”归口审理。妥当确定环境资源专门审判机构的职责范围，将与生态环境保护密切相关、需要通过专业化审理的案件划入环境资源案件的审理范围，充分发挥其专业化研究、协调、指导作用</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2.进一步统一裁判标准，形成专业化环境资源审判规则体系。</w:t>
      </w:r>
      <w:r>
        <w:rPr>
          <w:rFonts w:ascii="Times New Roman" w:hAnsi="Times New Roman" w:eastAsia="仿宋_GB2312" w:cs="Times New Roman"/>
          <w:bCs/>
          <w:sz w:val="32"/>
          <w:szCs w:val="32"/>
        </w:rPr>
        <w:t>加强对涉环境资源类型案件审判程序、裁判规则及方式等研究，解决法律适用上的分歧；探索符合</w:t>
      </w:r>
      <w:r>
        <w:rPr>
          <w:rFonts w:hint="eastAsia" w:ascii="Times New Roman" w:hAnsi="Times New Roman" w:eastAsia="仿宋_GB2312" w:cs="Times New Roman"/>
          <w:bCs/>
          <w:sz w:val="32"/>
          <w:szCs w:val="32"/>
        </w:rPr>
        <w:t>我</w:t>
      </w:r>
      <w:r>
        <w:rPr>
          <w:rFonts w:ascii="Times New Roman" w:hAnsi="Times New Roman" w:eastAsia="仿宋_GB2312" w:cs="Times New Roman"/>
          <w:bCs/>
          <w:sz w:val="32"/>
          <w:szCs w:val="32"/>
        </w:rPr>
        <w:t>市生态环境保护需求的多元生态修复方案，积极推动生态修复资金规范化、专业化管理使用。</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3.完善多元化环境纠纷解决方式，形成生态环境保护合力。</w:t>
      </w:r>
      <w:r>
        <w:rPr>
          <w:rFonts w:ascii="Times New Roman" w:hAnsi="Times New Roman" w:eastAsia="仿宋_GB2312" w:cs="Times New Roman"/>
          <w:bCs/>
          <w:sz w:val="32"/>
          <w:szCs w:val="32"/>
        </w:rPr>
        <w:t>不断深化环境治理协同联动，</w:t>
      </w:r>
      <w:r>
        <w:rPr>
          <w:rFonts w:hint="eastAsia" w:ascii="Times New Roman" w:hAnsi="Times New Roman" w:eastAsia="仿宋_GB2312" w:cs="Times New Roman"/>
          <w:bCs/>
          <w:sz w:val="32"/>
          <w:szCs w:val="32"/>
        </w:rPr>
        <w:t>强化</w:t>
      </w:r>
      <w:r>
        <w:rPr>
          <w:rFonts w:ascii="Times New Roman" w:hAnsi="Times New Roman" w:eastAsia="仿宋_GB2312" w:cs="Times New Roman"/>
          <w:bCs/>
          <w:sz w:val="32"/>
          <w:szCs w:val="32"/>
        </w:rPr>
        <w:t>人民法院与检察机关、公安机关、</w:t>
      </w:r>
      <w:r>
        <w:rPr>
          <w:rFonts w:hint="eastAsia" w:ascii="Times New Roman" w:hAnsi="Times New Roman" w:eastAsia="仿宋_GB2312" w:cs="Times New Roman"/>
          <w:bCs/>
          <w:sz w:val="32"/>
          <w:szCs w:val="32"/>
        </w:rPr>
        <w:t>综合</w:t>
      </w:r>
      <w:r>
        <w:rPr>
          <w:rFonts w:ascii="Times New Roman" w:hAnsi="Times New Roman" w:eastAsia="仿宋_GB2312" w:cs="Times New Roman"/>
          <w:bCs/>
          <w:sz w:val="32"/>
          <w:szCs w:val="32"/>
        </w:rPr>
        <w:t>行政执法部门的合作，加强信息沟通和交流联络，推动工作协调对接，注重诉前化解，加强诉讼与非诉讼纠纷解决机制的衔接。</w:t>
      </w:r>
    </w:p>
    <w:p>
      <w:pPr>
        <w:pStyle w:val="2"/>
        <w:rPr>
          <w:lang w:val="en-US"/>
        </w:rPr>
      </w:pP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（二）加强生态文明制度支撑</w:t>
      </w:r>
    </w:p>
    <w:p>
      <w:pPr>
        <w:spacing w:line="360" w:lineRule="auto"/>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snapToGrid w:val="0"/>
          <w:kern w:val="0"/>
          <w:sz w:val="32"/>
          <w:szCs w:val="32"/>
          <w:lang w:bidi="ar"/>
        </w:rPr>
        <w:t>1</w:t>
      </w:r>
      <w:r>
        <w:rPr>
          <w:rFonts w:ascii="Times New Roman" w:hAnsi="Times New Roman" w:eastAsia="仿宋_GB2312" w:cs="Times New Roman"/>
          <w:b/>
          <w:snapToGrid w:val="0"/>
          <w:kern w:val="0"/>
          <w:sz w:val="32"/>
          <w:szCs w:val="32"/>
          <w:lang w:bidi="ar"/>
        </w:rPr>
        <w:t>.</w:t>
      </w:r>
      <w:r>
        <w:rPr>
          <w:rFonts w:hint="eastAsia" w:ascii="Times New Roman" w:hAnsi="Times New Roman" w:eastAsia="仿宋_GB2312" w:cs="Times New Roman"/>
          <w:b/>
          <w:snapToGrid w:val="0"/>
          <w:kern w:val="0"/>
          <w:sz w:val="32"/>
          <w:szCs w:val="32"/>
          <w:lang w:bidi="ar"/>
        </w:rPr>
        <w:t>持续</w:t>
      </w:r>
      <w:r>
        <w:rPr>
          <w:rFonts w:ascii="Times New Roman" w:hAnsi="Times New Roman" w:eastAsia="仿宋_GB2312" w:cs="Times New Roman"/>
          <w:b/>
          <w:snapToGrid w:val="0"/>
          <w:kern w:val="0"/>
          <w:sz w:val="32"/>
          <w:szCs w:val="32"/>
          <w:lang w:bidi="ar"/>
        </w:rPr>
        <w:t>推进</w:t>
      </w:r>
      <w:r>
        <w:rPr>
          <w:rFonts w:eastAsia="仿宋_GB2312"/>
          <w:b/>
          <w:sz w:val="32"/>
          <w:szCs w:val="32"/>
        </w:rPr>
        <w:t>生态环境“大会战”</w:t>
      </w:r>
      <w:r>
        <w:rPr>
          <w:rFonts w:hint="eastAsia" w:eastAsia="仿宋_GB2312"/>
          <w:b/>
          <w:sz w:val="32"/>
          <w:szCs w:val="32"/>
        </w:rPr>
        <w:t>实施方案</w:t>
      </w:r>
      <w:r>
        <w:rPr>
          <w:rFonts w:hint="eastAsia" w:ascii="Times New Roman" w:hAnsi="Times New Roman" w:eastAsia="仿宋_GB2312" w:cs="Times New Roman"/>
          <w:b/>
          <w:snapToGrid w:val="0"/>
          <w:kern w:val="0"/>
          <w:sz w:val="32"/>
          <w:szCs w:val="32"/>
          <w:lang w:bidi="ar"/>
        </w:rPr>
        <w:t>。</w:t>
      </w:r>
      <w:r>
        <w:rPr>
          <w:rFonts w:ascii="Times New Roman" w:hAnsi="Times New Roman" w:eastAsia="仿宋_GB2312" w:cs="Times New Roman"/>
          <w:snapToGrid w:val="0"/>
          <w:kern w:val="0"/>
          <w:sz w:val="32"/>
          <w:szCs w:val="32"/>
          <w:lang w:bidi="ar"/>
        </w:rPr>
        <w:t>深入推进国家级生态文明建设示范市和国家级“绿水青山就是金山银山”实践创新基地创建，全力开展蓝天保卫、碧水保卫、净土保卫、人居环境提升、绿色发展转型、督查整改攻坚等“六大”战役，巩固拓展2021年生态环境改善大会战成果，持续提升我市生态环境质量、人居环境品质、绿色发展水平，争创全国生态环境保护执法大练兵表现突出集体、省级“无废城市”、省新时代美丽乡村标杆县。</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2.强化领导干部自然资源资产离任审计。</w:t>
      </w:r>
      <w:r>
        <w:rPr>
          <w:rFonts w:ascii="Times New Roman" w:hAnsi="Times New Roman" w:eastAsia="仿宋_GB2312" w:cs="Times New Roman"/>
          <w:bCs/>
          <w:sz w:val="32"/>
          <w:szCs w:val="32"/>
        </w:rPr>
        <w:t>继续充分认识生态文明建设的重要性和紧迫性，进一步加大领导干部自然资源资产离任审计力度。重点安排1~2个乡镇开展自然资源资产离任审计，重点关注贯彻执行中央生态文明建设方针政策和决策部署情况、遵守自然资源资产管理和生态环境保护法律法规情况、自然资源资产管理和生态环境保护重大决策情况、完成自然资源资产管理和生态环境保护目标情况、履行自然资源资产管理和生态环境保护监督责任情况、组织自然资源资产和生态环境保护相关资金征管用和项目建设运行情况等，为推动建立健全领导干部政绩考核评价体系，促进树立正确的政绩观和科学的发展观，维护生态环境安全，提供有力支持和保障。</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3.建立绿色金融发展工作机制。</w:t>
      </w:r>
      <w:r>
        <w:rPr>
          <w:rFonts w:ascii="Times New Roman" w:hAnsi="Times New Roman" w:eastAsia="仿宋_GB2312" w:cs="Times New Roman"/>
          <w:bCs/>
          <w:sz w:val="32"/>
          <w:szCs w:val="32"/>
        </w:rPr>
        <w:t>根据中央、地方政府以及上级行有关绿色金融改革发展的文件，切实推动制定我市绿色金融改革创新工作方案，建立相应的绿色金融改革工作的领导组织和督促考核机制。建立金融机构、发改、生态环境和金融监管部门信息沟通制度，定期通过环保政策法规，当地企业执行环保政策情况，企业节能降耗责任考核情况，信贷政策变化，金融机构的绿色金融发展情况等，引导金融机构增加对绿色经济领域的金融支持。重点推进建立地方绿色项目和企业库，便于金融部门参考名单有针对性营销绿色信贷客户。</w:t>
      </w:r>
    </w:p>
    <w:p>
      <w:pPr>
        <w:spacing w:line="360" w:lineRule="auto"/>
        <w:ind w:firstLine="643" w:firstLineChars="200"/>
        <w:rPr>
          <w:rFonts w:ascii="Times New Roman" w:hAnsi="Times New Roman" w:eastAsia="仿宋_GB2312" w:cs="Times New Roman"/>
          <w:bCs/>
          <w:sz w:val="32"/>
          <w:szCs w:val="32"/>
        </w:rPr>
      </w:pPr>
      <w:r>
        <w:rPr>
          <w:rFonts w:ascii="Times New Roman" w:hAnsi="Times New Roman" w:eastAsia="仿宋_GB2312" w:cs="Times New Roman"/>
          <w:b/>
          <w:bCs/>
          <w:sz w:val="32"/>
          <w:szCs w:val="32"/>
        </w:rPr>
        <w:t>4.健全绿色信贷创新机制。</w:t>
      </w:r>
      <w:r>
        <w:rPr>
          <w:rFonts w:ascii="Times New Roman" w:hAnsi="Times New Roman" w:eastAsia="仿宋_GB2312" w:cs="Times New Roman"/>
          <w:bCs/>
          <w:sz w:val="32"/>
          <w:szCs w:val="32"/>
        </w:rPr>
        <w:t>金融机构践行绿色发展理念，强化组织保障，提高绿色金融业务专业化程度，促进业务拓展、创新和风险管控；建立健全绿色信贷政策制度体系，完善企业绿色等级、信用评级、利率定价等风控措施，加大对绿色项目和企业的支持力度；进一步创新绿色金融产品，满足节能减排和循环经济发展的特色需求，增强在贷款金额、期限、还款方式、担保方式等方面的灵活性。</w:t>
      </w:r>
    </w:p>
    <w:p>
      <w:pPr>
        <w:pStyle w:val="2"/>
        <w:rPr>
          <w:lang w:val="en-US"/>
        </w:rPr>
      </w:pPr>
    </w:p>
    <w:p>
      <w:pPr>
        <w:pStyle w:val="3"/>
        <w:ind w:firstLine="210"/>
        <w:rPr>
          <w:rFonts w:hint="eastAsia"/>
          <w:lang w:val="en-US"/>
        </w:rPr>
      </w:pP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（三）优化自然生态空间格局</w:t>
      </w:r>
    </w:p>
    <w:p>
      <w:pPr>
        <w:ind w:firstLine="643"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1.完成土地利用工作考核目标任务。</w:t>
      </w:r>
      <w:r>
        <w:rPr>
          <w:rFonts w:ascii="Times New Roman" w:hAnsi="Times New Roman" w:eastAsia="仿宋_GB2312" w:cs="Times New Roman"/>
          <w:sz w:val="32"/>
          <w:szCs w:val="32"/>
        </w:rPr>
        <w:t>根据金华</w:t>
      </w:r>
      <w:r>
        <w:rPr>
          <w:rFonts w:hint="eastAsia" w:ascii="Times New Roman" w:hAnsi="Times New Roman" w:eastAsia="仿宋_GB2312" w:cs="Times New Roman"/>
          <w:sz w:val="32"/>
          <w:szCs w:val="32"/>
        </w:rPr>
        <w:t>市</w:t>
      </w:r>
      <w:r>
        <w:rPr>
          <w:rFonts w:ascii="Times New Roman" w:hAnsi="Times New Roman" w:eastAsia="仿宋_GB2312" w:cs="Times New Roman"/>
          <w:sz w:val="32"/>
          <w:szCs w:val="32"/>
        </w:rPr>
        <w:t>下达的考核目标任务，形成台账分解任务到各镇乡街道（开发区），每月进行督查通报，定期召开推进会，对完成较落后的镇乡街道（开发区）进行约谈。由自然资源和规划局牵头，不定期开展与镇乡街道（开发区）工作联席会议，加强联系沟通、梳理解决问题矛盾等，更富时效地推动土地利用工作开展；划定重点，聚焦供地速度。对照市政府下达的重点项目清单，强化与市招商引智工作的有机衔接，发改、经信等相关部门沟通协作，严格“标准地”出让模式，完善全生命周期管理，主动作为，打破部门壁垒，规范工作流程，有效缩短流转时间。</w:t>
      </w:r>
    </w:p>
    <w:p>
      <w:pPr>
        <w:ind w:firstLine="643" w:firstLineChars="200"/>
        <w:jc w:val="left"/>
        <w:rPr>
          <w:rFonts w:ascii="Times New Roman" w:hAnsi="Times New Roman" w:eastAsia="仿宋_GB2312" w:cs="Times New Roman"/>
          <w:sz w:val="32"/>
          <w:szCs w:val="32"/>
          <w:shd w:val="clear" w:color="auto" w:fill="FFFFFF"/>
        </w:rPr>
      </w:pPr>
      <w:r>
        <w:rPr>
          <w:rFonts w:ascii="Times New Roman" w:hAnsi="Times New Roman" w:eastAsia="仿宋_GB2312" w:cs="Times New Roman"/>
          <w:b/>
          <w:sz w:val="32"/>
          <w:szCs w:val="32"/>
          <w:shd w:val="clear" w:color="auto" w:fill="FFFFFF"/>
        </w:rPr>
        <w:t>2.统筹推进国土空间优化。</w:t>
      </w:r>
      <w:r>
        <w:rPr>
          <w:rFonts w:ascii="Times New Roman" w:hAnsi="Times New Roman" w:eastAsia="仿宋_GB2312" w:cs="Times New Roman"/>
          <w:sz w:val="32"/>
          <w:szCs w:val="32"/>
          <w:shd w:val="clear" w:color="auto" w:fill="FFFFFF"/>
        </w:rPr>
        <w:t>以镇乡（街道）或部分行政村（社区）为实施单元，以村容村貌全面提升、美丽田园加速推进、生态环境显著改善、亮点打造各具特色为目标，统筹推进美丽乡村建设、耕地保护、生态修复、产业发展和乡村治理。组织实施“3+X”模式的乡村全域土地综合整治与生态修复工程2.0版，即包含村庄整治、农田整治、生态修复等3项基本内容，并根据区域自然资源禀赋、人文地理状况，开展低效工业用地整治、废弃矿山治理修复、历史文化名村保护、一二三产业融合发展等若干特色整治项目。</w:t>
      </w:r>
    </w:p>
    <w:p>
      <w:pPr>
        <w:widowControl/>
        <w:ind w:firstLine="622" w:firstLineChars="200"/>
        <w:jc w:val="left"/>
        <w:rPr>
          <w:rFonts w:ascii="Times New Roman" w:hAnsi="Times New Roman" w:eastAsia="仿宋_GB2312" w:cs="Times New Roman"/>
          <w:kern w:val="0"/>
          <w:sz w:val="31"/>
          <w:szCs w:val="31"/>
          <w:lang w:bidi="ar"/>
        </w:rPr>
      </w:pPr>
      <w:r>
        <w:rPr>
          <w:rFonts w:ascii="Times New Roman" w:hAnsi="Times New Roman" w:eastAsia="仿宋_GB2312" w:cs="Times New Roman"/>
          <w:b/>
          <w:kern w:val="0"/>
          <w:sz w:val="31"/>
          <w:szCs w:val="31"/>
          <w:lang w:bidi="ar"/>
        </w:rPr>
        <w:t>3.持续推进农村乱占耕地建房问题专项整治工作。</w:t>
      </w:r>
      <w:r>
        <w:rPr>
          <w:rFonts w:ascii="Times New Roman" w:hAnsi="Times New Roman" w:eastAsia="仿宋_GB2312" w:cs="Times New Roman"/>
          <w:kern w:val="0"/>
          <w:sz w:val="31"/>
          <w:szCs w:val="31"/>
          <w:lang w:bidi="ar"/>
        </w:rPr>
        <w:t>开展已摸排上报房屋的整改工作，严控农村新增乱占耕地建房问题；持续开展卫片执法和耕地保护督查工作，确保违法耕</w:t>
      </w:r>
      <w:r>
        <w:rPr>
          <w:rFonts w:hint="eastAsia" w:ascii="Times New Roman" w:hAnsi="Times New Roman" w:eastAsia="仿宋_GB2312" w:cs="Times New Roman"/>
          <w:kern w:val="0"/>
          <w:sz w:val="31"/>
          <w:szCs w:val="31"/>
          <w:lang w:bidi="ar"/>
        </w:rPr>
        <w:t>地</w:t>
      </w:r>
      <w:r>
        <w:rPr>
          <w:rFonts w:ascii="Times New Roman" w:hAnsi="Times New Roman" w:eastAsia="仿宋_GB2312" w:cs="Times New Roman"/>
          <w:kern w:val="0"/>
          <w:sz w:val="31"/>
          <w:szCs w:val="31"/>
          <w:lang w:bidi="ar"/>
        </w:rPr>
        <w:t>占比小于2%。</w:t>
      </w:r>
    </w:p>
    <w:p>
      <w:pPr>
        <w:pStyle w:val="2"/>
        <w:spacing w:line="600" w:lineRule="exact"/>
        <w:ind w:firstLine="643" w:firstLineChars="200"/>
        <w:jc w:val="both"/>
        <w:rPr>
          <w:rFonts w:ascii="Times New Roman" w:hAnsi="Times New Roman" w:eastAsia="仿宋_GB2312" w:cs="Times New Roman"/>
          <w:sz w:val="32"/>
        </w:rPr>
      </w:pPr>
      <w:r>
        <w:rPr>
          <w:rFonts w:ascii="Times New Roman" w:hAnsi="Times New Roman" w:eastAsia="仿宋_GB2312" w:cs="Times New Roman"/>
          <w:b/>
          <w:sz w:val="32"/>
        </w:rPr>
        <w:t>4.加强生物多样性保护。</w:t>
      </w:r>
      <w:r>
        <w:rPr>
          <w:rFonts w:ascii="Times New Roman" w:hAnsi="Times New Roman" w:eastAsia="仿宋_GB2312" w:cs="Times New Roman"/>
          <w:sz w:val="32"/>
        </w:rPr>
        <w:t>按照省生态环境厅</w:t>
      </w:r>
      <w:r>
        <w:rPr>
          <w:rFonts w:hint="eastAsia" w:ascii="Times New Roman" w:hAnsi="Times New Roman" w:eastAsia="仿宋_GB2312" w:cs="Times New Roman"/>
          <w:sz w:val="32"/>
        </w:rPr>
        <w:t>部署</w:t>
      </w:r>
      <w:r>
        <w:rPr>
          <w:rFonts w:ascii="Times New Roman" w:hAnsi="Times New Roman" w:eastAsia="仿宋_GB2312" w:cs="Times New Roman"/>
          <w:sz w:val="32"/>
        </w:rPr>
        <w:t>，2022年下半年，正式启动我市生物多样性调查工作。积极开展生物多样性保护主题宣传活动，如世界野生动植物日、野生动物保护宣传月暨“爱鸟周”、5月22日国际生物多样性日等宣传活动；开展禁止野生动物交易、革除滥食野生动物陋习专项执法检查，规范野生动物执法监管；做好野生动物疫源疫病监测防控；对东阳东江源省级自然保护区生物多样性保护和基础设施进行运行维护。</w:t>
      </w:r>
    </w:p>
    <w:p>
      <w:pPr>
        <w:pStyle w:val="2"/>
        <w:spacing w:line="600" w:lineRule="exact"/>
        <w:ind w:firstLine="643" w:firstLineChars="200"/>
        <w:jc w:val="both"/>
        <w:rPr>
          <w:rFonts w:ascii="Times New Roman" w:hAnsi="Times New Roman" w:eastAsia="仿宋_GB2312" w:cs="Times New Roman"/>
          <w:sz w:val="32"/>
        </w:rPr>
      </w:pPr>
      <w:r>
        <w:rPr>
          <w:rFonts w:ascii="Times New Roman" w:hAnsi="Times New Roman" w:eastAsia="仿宋_GB2312" w:cs="Times New Roman"/>
          <w:b/>
          <w:sz w:val="32"/>
        </w:rPr>
        <w:t>5.加强生态修复与保护。</w:t>
      </w:r>
      <w:r>
        <w:rPr>
          <w:rFonts w:ascii="Times New Roman" w:hAnsi="Times New Roman" w:eastAsia="仿宋_GB2312" w:cs="Times New Roman"/>
          <w:sz w:val="32"/>
        </w:rPr>
        <w:t>计划完成新增国土绿化面积4000亩。完成松材线虫病疫木除治35万亩，完成1个重要湿地保护绩效评价、1个省级以上湿地公园提质。继续做好天然林、公益林停伐工作，按规定发放补偿资金。积极开展天然林修复实施方案编制工作。加快国有林场高质量发展。香榧国家良种基地上新台阶，启动林业总场森林康养、自然教育林草科普基地的建设。开展《东阳市林地保护利用总体规划》修编，完成《东阳南山国家森林公园总体规划（2021-2030年）》报批。</w:t>
      </w:r>
    </w:p>
    <w:p>
      <w:pPr>
        <w:adjustRightInd w:val="0"/>
        <w:spacing w:line="360" w:lineRule="auto"/>
        <w:ind w:firstLine="643" w:firstLineChars="200"/>
        <w:jc w:val="left"/>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（四）提升生态环境治理能力</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 w:cs="Times New Roman"/>
          <w:sz w:val="32"/>
          <w:szCs w:val="32"/>
        </w:rPr>
      </w:pPr>
      <w:r>
        <w:rPr>
          <w:rFonts w:ascii="Times New Roman" w:hAnsi="Times New Roman" w:eastAsia="仿宋" w:cs="Times New Roman"/>
          <w:b/>
          <w:sz w:val="32"/>
          <w:szCs w:val="32"/>
          <w:shd w:val="clear" w:color="auto" w:fill="FFFFFF"/>
        </w:rPr>
        <w:t>1.打好一场战役。</w:t>
      </w:r>
      <w:r>
        <w:rPr>
          <w:rFonts w:ascii="Times New Roman" w:hAnsi="Times New Roman" w:eastAsia="仿宋" w:cs="Times New Roman"/>
          <w:sz w:val="32"/>
          <w:szCs w:val="32"/>
        </w:rPr>
        <w:t>深入持续打好生态环境改善大会战，各项考核指标继续保持金华前列。两江全流域达到</w:t>
      </w:r>
      <w:r>
        <w:rPr>
          <w:rFonts w:hint="eastAsia" w:ascii="宋体" w:hAnsi="宋体" w:eastAsia="宋体" w:cs="宋体"/>
          <w:sz w:val="32"/>
          <w:szCs w:val="32"/>
        </w:rPr>
        <w:t>Ⅲ</w:t>
      </w:r>
      <w:r>
        <w:rPr>
          <w:rFonts w:ascii="Times New Roman" w:hAnsi="Times New Roman" w:eastAsia="仿宋" w:cs="Times New Roman"/>
          <w:sz w:val="32"/>
          <w:szCs w:val="32"/>
        </w:rPr>
        <w:t>类水，力争出境断面水质年度考核优秀；空气优良天数比例力争达到98%以上，PM</w:t>
      </w:r>
      <w:r>
        <w:rPr>
          <w:rFonts w:ascii="Times New Roman" w:hAnsi="Times New Roman" w:eastAsia="仿宋" w:cs="Times New Roman"/>
          <w:sz w:val="32"/>
          <w:szCs w:val="32"/>
          <w:vertAlign w:val="subscript"/>
        </w:rPr>
        <w:t>2.5</w:t>
      </w:r>
      <w:r>
        <w:rPr>
          <w:rFonts w:ascii="Times New Roman" w:hAnsi="Times New Roman" w:eastAsia="仿宋" w:cs="Times New Roman"/>
          <w:sz w:val="32"/>
          <w:szCs w:val="32"/>
        </w:rPr>
        <w:t>平均浓度力争达到22ug/m</w:t>
      </w:r>
      <w:r>
        <w:rPr>
          <w:rFonts w:ascii="Times New Roman" w:hAnsi="Times New Roman" w:eastAsia="仿宋" w:cs="Times New Roman"/>
          <w:sz w:val="32"/>
          <w:szCs w:val="32"/>
          <w:vertAlign w:val="superscript"/>
        </w:rPr>
        <w:t>3</w:t>
      </w:r>
      <w:r>
        <w:rPr>
          <w:rFonts w:ascii="Times New Roman" w:hAnsi="Times New Roman" w:eastAsia="仿宋" w:cs="Times New Roman"/>
          <w:sz w:val="32"/>
          <w:szCs w:val="32"/>
        </w:rPr>
        <w:t>；</w:t>
      </w:r>
      <w:r>
        <w:rPr>
          <w:rFonts w:ascii="Times New Roman" w:hAnsi="Times New Roman" w:eastAsia="仿宋" w:cs="Times New Roman"/>
          <w:sz w:val="32"/>
          <w:szCs w:val="32"/>
          <w:shd w:val="clear" w:color="auto" w:fill="FFFFFF"/>
        </w:rPr>
        <w:t>全市危废规范化管理抽查达标率达到95%，全市近2000家日常监管企业一般工业固废交投率达到90%。</w:t>
      </w:r>
      <w:r>
        <w:rPr>
          <w:rFonts w:ascii="Times New Roman" w:hAnsi="Times New Roman" w:eastAsia="仿宋" w:cs="Times New Roman"/>
          <w:sz w:val="32"/>
          <w:szCs w:val="32"/>
        </w:rPr>
        <w:t>全力交出一份优秀的“绿色答卷”。</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 w:cs="Times New Roman"/>
          <w:sz w:val="32"/>
          <w:szCs w:val="32"/>
          <w:shd w:val="clear" w:color="auto" w:fill="FFFFFF"/>
        </w:rPr>
      </w:pPr>
      <w:r>
        <w:rPr>
          <w:rFonts w:ascii="Times New Roman" w:hAnsi="Times New Roman" w:eastAsia="仿宋" w:cs="Times New Roman"/>
          <w:b/>
          <w:sz w:val="32"/>
          <w:szCs w:val="32"/>
          <w:shd w:val="clear" w:color="auto" w:fill="FFFFFF"/>
        </w:rPr>
        <w:t>2.建设两个试点。</w:t>
      </w:r>
      <w:r>
        <w:rPr>
          <w:rFonts w:ascii="Times New Roman" w:hAnsi="Times New Roman" w:eastAsia="仿宋" w:cs="Times New Roman"/>
          <w:sz w:val="32"/>
          <w:szCs w:val="32"/>
          <w:shd w:val="clear" w:color="auto" w:fill="FFFFFF"/>
        </w:rPr>
        <w:t>一是打造“一镇一村”低零碳省级试点，以提升发展“含绿量”为目标统筹开展碳排放碳达峰行动，将三单乡和斯光村打造为可复制可推广可借鉴的全省示范标杆；二是开辟动物诊疗废弃物闭环管理新链条，建立统一贮存仓库集中清运、“人脸＋扫码”精准入库、全程记录处置过程，建设数字化场景运用，将动物诊疗废弃物处置工作为全省打造试点。</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 w:cs="Times New Roman"/>
          <w:sz w:val="32"/>
          <w:szCs w:val="32"/>
          <w:shd w:val="clear" w:color="auto" w:fill="FFFFFF"/>
        </w:rPr>
      </w:pPr>
      <w:r>
        <w:rPr>
          <w:rFonts w:ascii="Times New Roman" w:hAnsi="Times New Roman" w:eastAsia="仿宋" w:cs="Times New Roman"/>
          <w:b/>
          <w:sz w:val="32"/>
          <w:szCs w:val="32"/>
          <w:shd w:val="clear" w:color="auto" w:fill="FFFFFF"/>
        </w:rPr>
        <w:t>3.推进三项行动。</w:t>
      </w:r>
      <w:r>
        <w:rPr>
          <w:rFonts w:ascii="Times New Roman" w:hAnsi="Times New Roman" w:eastAsia="仿宋" w:cs="Times New Roman"/>
          <w:sz w:val="32"/>
          <w:szCs w:val="32"/>
          <w:shd w:val="clear" w:color="auto" w:fill="FFFFFF"/>
        </w:rPr>
        <w:t>深入打好污染防治攻坚战。一是持续推进蓝天保卫行动。深入实施细颗粒物和臭氧“双控双减”，持续推进源头替代和高效设施提升、推广清洁能源替代。利用全市20座空气站及激光雷达站，强化扬尘在线监管，健全部门联动机制，织密功能完善的大气污染立体监管网络。二是持续推进碧水提升行动。深化“污水零直排区”建设，完成横店电镀集聚区省级标杆园区创建验收；有序推进市域内村、生活小区“污水零直排区”建设；推进14家企业清洁生产改造和污染物减排，计划化学需氧量削减400吨、氨氮60吨、氮氧化物30吨、挥发性有机物120吨以上；采用声呐扫描、无人机航拍等“上天入地”新手段，开展入河排放口和支流水体环境风险排查，实现精准治污；加强饮用水水源地保护，完成县级以上饮用水水源地定标立标，推进生态缓冲拦截区建设，保障城乡饮用水质量。三是深化净土清废行动。勇做全域“无废城市”建设先行者，全力巩固创建成果。深化“固废一件事APP”应用，开展工业固废数字化监管新模式试点，形成“产生-贮存-出厂-运输-处置”从固废源头产生到资源化利用的全生命周期闭环监管，日常监管的近2000家企业完成交投率达85%以上；补齐危废处置能力短板，督促美臣新材料公司年处理16万吨铝灰的二期工程和纳海环境公司年处理3万吨综合危废的一期工程建成投产。</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 w:cs="Times New Roman"/>
          <w:sz w:val="32"/>
          <w:szCs w:val="32"/>
          <w:shd w:val="clear" w:color="auto" w:fill="FFFFFF"/>
        </w:rPr>
      </w:pPr>
      <w:r>
        <w:rPr>
          <w:rFonts w:ascii="Times New Roman" w:hAnsi="Times New Roman" w:eastAsia="仿宋" w:cs="Times New Roman"/>
          <w:b/>
          <w:sz w:val="32"/>
          <w:szCs w:val="32"/>
          <w:shd w:val="clear" w:color="auto" w:fill="FFFFFF"/>
        </w:rPr>
        <w:t>4.绘就四张蓝图。</w:t>
      </w:r>
      <w:r>
        <w:rPr>
          <w:rFonts w:ascii="Times New Roman" w:hAnsi="Times New Roman" w:eastAsia="仿宋" w:cs="Times New Roman"/>
          <w:sz w:val="32"/>
          <w:szCs w:val="32"/>
          <w:shd w:val="clear" w:color="auto" w:fill="FFFFFF"/>
        </w:rPr>
        <w:t>一是绘就环保督察问题整改力量蓝图。统筹协调全面完成中央环保督察信访件销号，确保2022年6月底前完成家具行业整治任务，全面提升家具行业环境面貌，向中央督察组上交满意整改答卷；闭环机制实现常态长效，参照督察共性问题以及典型问题开展“举一反三”常态化问题排查，定期开展问题整改明察暗访和“回头看”，谨防问题反弹回潮。二是绘就环保执法监管本色蓝图。以能力提升、规范程序等手段推进生态环境领域执法规范化建设，助力“局队合一”体制改革；对查处环境违法行为标准不降，力度不减，争取各项执法数据继续位列金华各县市第一，再创全国生态环境保护执法大练兵表现突出集体，信访总量较2021年减少20%以上。三是绘就生物多样性保护蓝图。开展生物多样性全域本底调查，掌握我市生物多样性状况及变化趋势，挖掘东阳特色物种经济化规模化产业化潜力，提供构建和展示生态优美、物种和谐的生物多样性保护与可持续利用“东阳方案”。四是绘就生态铁军队伍建设成色蓝图。按照“学过、管过、干过”的原则，在全市范围内组建一支政治素质过硬、知识结构合理、业务能力精湛、勤政廉政的高素质实干型专业化干部队伍；坚持党建引领，全面开启“守职尽责”专项活动，深入推进“廉政单元”建设，打造坚如磐石、党旗飘扬的战斗堡垒，建设适应现代化建设要求的生态环保铁军。</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b/>
          <w:sz w:val="32"/>
        </w:rPr>
      </w:pPr>
      <w:r>
        <w:rPr>
          <w:rFonts w:ascii="Times New Roman" w:hAnsi="Times New Roman" w:eastAsia="仿宋_GB2312" w:cs="Times New Roman"/>
          <w:b/>
          <w:snapToGrid w:val="0"/>
          <w:kern w:val="0"/>
          <w:sz w:val="32"/>
          <w:szCs w:val="32"/>
        </w:rPr>
        <w:t>（五）</w:t>
      </w:r>
      <w:r>
        <w:rPr>
          <w:rFonts w:ascii="Times New Roman" w:hAnsi="Times New Roman" w:eastAsia="仿宋_GB2312" w:cs="Times New Roman"/>
          <w:b/>
          <w:sz w:val="32"/>
        </w:rPr>
        <w:t>精心打造宜居美丽城乡</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1.实施乡村基础配套达标提质行动。</w:t>
      </w:r>
      <w:r>
        <w:rPr>
          <w:rFonts w:ascii="Times New Roman" w:hAnsi="Times New Roman" w:eastAsia="仿宋_GB2312" w:cs="Times New Roman"/>
          <w:snapToGrid w:val="0"/>
          <w:kern w:val="0"/>
          <w:sz w:val="32"/>
          <w:szCs w:val="32"/>
        </w:rPr>
        <w:t>对照路面硬化、路灯亮化、村庄绿化、饮水净化、污水管化、公厕洁化、管理智化、服务优化等“八化”要求，开展查漏补缺，缺什么补什么，全面夯实乡村基础配套。</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2.全力推进乡村振兴。</w:t>
      </w:r>
      <w:r>
        <w:rPr>
          <w:rFonts w:ascii="Times New Roman" w:hAnsi="Times New Roman" w:eastAsia="仿宋_GB2312" w:cs="Times New Roman"/>
          <w:snapToGrid w:val="0"/>
          <w:kern w:val="0"/>
          <w:sz w:val="32"/>
          <w:szCs w:val="32"/>
        </w:rPr>
        <w:t>全面实施农业高质量发展新政，推动科技强农、机械强农。压实“米袋子”“菜篮子”责任，深化“两非”整治，建成高质高效粮食生产功能区千亩畈10个，建成皇野生猪养殖、现代化规模屠宰场及动物生态处理中心项目。因地制宜发展休闲农业、乡村旅游、飞地物业等业态，建成示范型共享田园6个以上；持续加大对生态型乡镇的扶持力度，增强村集体“造血”能力，村集体年经营性收入50万元以上村达到80%以上。总结推广“浙里花园”建设经验和“数字寀卢”建设成果，打造未来乡村5个以上。建成省级美丽乡村示范乡镇1个、示范村23个，健全完善农村人居环境长效管护机制，争创省级新时代美丽乡村标杆市。启动“千万工程”展示馆二期建设，申办全省“千万工程”20周年纪念大会。</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3.持续开展乡村美丽环境建设。</w:t>
      </w:r>
      <w:r>
        <w:rPr>
          <w:rFonts w:ascii="Times New Roman" w:hAnsi="Times New Roman" w:eastAsia="仿宋_GB2312" w:cs="Times New Roman"/>
          <w:snapToGrid w:val="0"/>
          <w:kern w:val="0"/>
          <w:sz w:val="32"/>
          <w:szCs w:val="32"/>
        </w:rPr>
        <w:t>全面完成新时代美丽乡村第一轮创建，市财政继续安排1.5亿元资金，对剩余的240个自然村开展精品村和达标村创建。按照“一树一景一田园”要求，谋划启动“美丽村口”建设，进一步提升美丽环境水平。有序推开农村生活垃圾“两定四分”。</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4.做活做强乡村产业。</w:t>
      </w:r>
      <w:r>
        <w:rPr>
          <w:rFonts w:ascii="Times New Roman" w:hAnsi="Times New Roman" w:eastAsia="仿宋_GB2312" w:cs="Times New Roman"/>
          <w:snapToGrid w:val="0"/>
          <w:kern w:val="0"/>
          <w:sz w:val="32"/>
          <w:szCs w:val="32"/>
        </w:rPr>
        <w:t>全面完成今年启动的18个共享田园建设，加大产业植入，确保每个共享田园至少有一个产业项目落地，确保旅游人次达到50万以上。加大政策扶持，基本建成六石街道白溪江、湖溪镇南徐线两条夜经济示范带。深化“两进两回”，吸引乡贤投资5亿元以上，吸引大学生回归500人以上。</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b/>
          <w:snapToGrid w:val="0"/>
          <w:kern w:val="0"/>
          <w:sz w:val="32"/>
          <w:szCs w:val="32"/>
        </w:rPr>
      </w:pPr>
      <w:r>
        <w:rPr>
          <w:rFonts w:ascii="Times New Roman" w:hAnsi="Times New Roman" w:eastAsia="仿宋_GB2312" w:cs="Times New Roman"/>
          <w:b/>
          <w:snapToGrid w:val="0"/>
          <w:kern w:val="0"/>
          <w:sz w:val="32"/>
          <w:szCs w:val="32"/>
        </w:rPr>
        <w:t>（六）创新推动绿色低碳发展</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1.聚焦聚力数字化改革。</w:t>
      </w:r>
      <w:r>
        <w:rPr>
          <w:rFonts w:ascii="Times New Roman" w:hAnsi="Times New Roman" w:eastAsia="仿宋_GB2312" w:cs="Times New Roman"/>
          <w:snapToGrid w:val="0"/>
          <w:kern w:val="0"/>
          <w:sz w:val="32"/>
          <w:szCs w:val="32"/>
        </w:rPr>
        <w:t>开展数字化改革攻坚创优大行动，完善一体化智能化公共数据平台和五大综合应用，加快基层治理系统建设，推动“152”体系架构向“1512”迭代升级；聚焦群众和企业所盼、改革和发展所需，动态调整“三张清单”，谋划推动“影视文化大脑（二期）”“数字红木”“数字建筑”等特色应用上线运行，打造一批标志性成果。以数字化改革牵引重点改革，加快“县乡一体、条抓块统”整体智治改革，实现“152”体系与“141”体系衔接贯通。</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2.持续深化创新驱动。</w:t>
      </w:r>
      <w:r>
        <w:rPr>
          <w:rFonts w:ascii="Times New Roman" w:hAnsi="Times New Roman" w:eastAsia="仿宋_GB2312" w:cs="Times New Roman"/>
          <w:snapToGrid w:val="0"/>
          <w:kern w:val="0"/>
          <w:sz w:val="32"/>
          <w:szCs w:val="32"/>
        </w:rPr>
        <w:t>深入实施科技型企业“双倍增”行动计划，新增国家高新技术企业35家、省级科技型中小企业80家以上，力争研发投入强度达2.65%。大力开展“揭榜挂帅2.0”行动，推出“揭榜挂帅”项目30个、榜金3000万元以上，列入省“尖兵”“领雁”科技项目2项以上。加快上海大学东阳产业发展研究院等创新平台建设，启动建设东阳科技城，完成东阳市产业创新研究总院组建，力争省级科技孵化器实现“零”的突破。支持企业建设研发机构，新增省级以上企业研发中心10家。</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3.加快提升工业经济竞争力。</w:t>
      </w:r>
      <w:r>
        <w:rPr>
          <w:rFonts w:ascii="Times New Roman" w:hAnsi="Times New Roman" w:eastAsia="仿宋_GB2312" w:cs="Times New Roman"/>
          <w:snapToGrid w:val="0"/>
          <w:kern w:val="0"/>
          <w:sz w:val="32"/>
          <w:szCs w:val="32"/>
        </w:rPr>
        <w:t>打好产业升级大会战，深入开展新一轮制造业“腾笼换鸟、凤凰涅槃”攻坚行动，以集群理念做大做强“1234”标志性产业，规上工业总产值、规上工业增加值分别增长25%和15.5%以上，争取医药健康产业链产值突破百亿元大关；大力发展数字经济，协同推进数字产业化、产业数字化，实施轻量化智改项目、两化融合项目、技改项目超百项，打造数字化转型标杆示范项目4个以上，创建省级两化融合示范企业（项目）2个以上，规上数字经济核心产业制造业增加值增长16%以上；深化“亩均论英雄”改革，改造提升低效企业340家以上，整治低散乱“四无”企业1000家以上，规上工业亩均税收超20万元。深入实施企业育大育强行动，新增上市企业2家、“专精特新”小巨人企业2家、规上企业100家以上。坚持质量强企、标准强企、品牌强企，新增“浙江制造”标准6项，培育“品字标”企业7家以上。</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4.加快打造影视文旅产业新优势。</w:t>
      </w:r>
      <w:r>
        <w:rPr>
          <w:rFonts w:ascii="Times New Roman" w:hAnsi="Times New Roman" w:eastAsia="仿宋_GB2312" w:cs="Times New Roman"/>
          <w:snapToGrid w:val="0"/>
          <w:kern w:val="0"/>
          <w:sz w:val="32"/>
          <w:szCs w:val="32"/>
        </w:rPr>
        <w:t>抓紧编制横店影视文化产业集聚区概念性规划。推动影视文化产业数字化转型，加快服化道、政企通等系统建设，打造“影视文化大脑+未来影视工厂”融合发展新格局。加快横店影视产业园、影视企业之家、演员村、爱奇艺、腾讯视频等重大项目建设，招引游戏、动漫等上下游企业和短视频、直播等新业态企业40家以上，影视企业营收超230亿元。积极引导企业围绕党的二十大等主题开展精品创作，高质量办好横店影视文化产业博览会、横店影视节等活动，持续打响“横店出品”品牌。加快推进省级文旅消费试点城市和未来景区试点建设，统筹抓好“三宅”、东白山等文旅资源保护利用，旅游人次、旅游收入均增长10%以上。</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5.加快激发建筑业转型新动能。</w:t>
      </w:r>
      <w:r>
        <w:rPr>
          <w:rFonts w:ascii="Times New Roman" w:hAnsi="Times New Roman" w:eastAsia="仿宋_GB2312" w:cs="Times New Roman"/>
          <w:snapToGrid w:val="0"/>
          <w:kern w:val="0"/>
          <w:sz w:val="32"/>
          <w:szCs w:val="32"/>
        </w:rPr>
        <w:t>争取省级建筑业高质量发展综合实验区尽快落地，在破解融资难等问题上先行先试。发挥建筑科技研究院作用，完成独立研发成果3项以上。加快建筑科技产业园建设，推动中天集团装配式钢结构生产基地落地建设。紧抓资质体系调整契机，引导建筑企业“专精特</w:t>
      </w:r>
      <w:r>
        <w:rPr>
          <w:rFonts w:hint="eastAsia" w:ascii="Times New Roman" w:hAnsi="Times New Roman" w:eastAsia="仿宋_GB2312" w:cs="Times New Roman"/>
          <w:snapToGrid w:val="0"/>
          <w:kern w:val="0"/>
          <w:sz w:val="32"/>
          <w:szCs w:val="32"/>
          <w:lang w:val="en-US" w:eastAsia="zh-CN"/>
        </w:rPr>
        <w:t>新</w:t>
      </w:r>
      <w:bookmarkStart w:id="0" w:name="_GoBack"/>
      <w:bookmarkEnd w:id="0"/>
      <w:r>
        <w:rPr>
          <w:rFonts w:ascii="Times New Roman" w:hAnsi="Times New Roman" w:eastAsia="仿宋_GB2312" w:cs="Times New Roman"/>
          <w:snapToGrid w:val="0"/>
          <w:kern w:val="0"/>
          <w:sz w:val="32"/>
          <w:szCs w:val="32"/>
        </w:rPr>
        <w:t>”发展、数字化转型。持续做好建筑业招商和营改增工作，建筑业总税收超45亿元。完成建筑业总产值1850亿元、省内产值450亿元以上。</w:t>
      </w:r>
    </w:p>
    <w:p>
      <w:pPr>
        <w:pBdr>
          <w:bottom w:val="single" w:color="FFFFFF" w:sz="4" w:space="31"/>
        </w:pBdr>
        <w:shd w:val="clear" w:color="auto" w:fill="FFFFFF"/>
        <w:adjustRightInd w:val="0"/>
        <w:snapToGrid w:val="0"/>
        <w:spacing w:line="560" w:lineRule="exact"/>
        <w:ind w:firstLine="643" w:firstLineChars="200"/>
        <w:rPr>
          <w:rFonts w:ascii="Times New Roman" w:hAnsi="Times New Roman" w:eastAsia="仿宋_GB2312" w:cs="Times New Roman"/>
          <w:snapToGrid w:val="0"/>
          <w:kern w:val="0"/>
          <w:sz w:val="32"/>
          <w:szCs w:val="32"/>
        </w:rPr>
      </w:pPr>
      <w:r>
        <w:rPr>
          <w:rFonts w:ascii="Times New Roman" w:hAnsi="Times New Roman" w:eastAsia="仿宋_GB2312" w:cs="Times New Roman"/>
          <w:b/>
          <w:snapToGrid w:val="0"/>
          <w:kern w:val="0"/>
          <w:sz w:val="32"/>
          <w:szCs w:val="32"/>
        </w:rPr>
        <w:t>6.加快推动木雕家居全产业链发展。</w:t>
      </w:r>
      <w:r>
        <w:rPr>
          <w:rFonts w:ascii="Times New Roman" w:hAnsi="Times New Roman" w:eastAsia="仿宋_GB2312" w:cs="Times New Roman"/>
          <w:snapToGrid w:val="0"/>
          <w:kern w:val="0"/>
          <w:sz w:val="32"/>
          <w:szCs w:val="32"/>
        </w:rPr>
        <w:t>全面完成家具行业环保整治再提升行动。启动建设央地共建中国新红木示范区，争创中国（东阳）木雕红木知识产权快速维权中心。筹建东阳雕塑学院，积极打造木雕小镇2.0版，建成木雕家具产业园，推动木雕家居产业融合创新发展。继续办好中华大师汇，举办全国家具职业技能竞赛、工艺品制作技能竞赛全国总决赛。木雕家居全产业链营收超760亿元。。</w:t>
      </w:r>
    </w:p>
    <w:p>
      <w:pPr>
        <w:pStyle w:val="23"/>
        <w:widowControl w:val="0"/>
        <w:rPr>
          <w:rFonts w:eastAsia="仿宋_GB2312"/>
          <w:b/>
          <w:snapToGrid w:val="0"/>
          <w:sz w:val="32"/>
          <w:szCs w:val="32"/>
        </w:rPr>
      </w:pPr>
    </w:p>
    <w:sectPr>
      <w:footerReference r:id="rId5" w:type="default"/>
      <w:pgSz w:w="11906" w:h="16838"/>
      <w:pgMar w:top="1440" w:right="1616" w:bottom="1440" w:left="1616"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1"/>
        <w:szCs w:val="21"/>
      </w:rP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9"/>
      </w:rPr>
    </w:pPr>
    <w:r>
      <w:fldChar w:fldCharType="begin"/>
    </w:r>
    <w:r>
      <w:rPr>
        <w:rStyle w:val="19"/>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6564434"/>
      <w:docPartObj>
        <w:docPartGallery w:val="autotext"/>
      </w:docPartObj>
    </w:sdtPr>
    <w:sdtEndPr>
      <w:rPr>
        <w:rFonts w:ascii="Times New Roman" w:hAnsi="Times New Roman" w:cs="Times New Roman"/>
        <w:sz w:val="21"/>
        <w:szCs w:val="21"/>
      </w:rPr>
    </w:sdtEndPr>
    <w:sdtContent>
      <w:p>
        <w:pPr>
          <w:pStyle w:val="8"/>
          <w:jc w:val="center"/>
          <w:rPr>
            <w:rFonts w:ascii="Times New Roman" w:hAnsi="Times New Roman" w:cs="Times New Roman"/>
            <w:sz w:val="21"/>
            <w:szCs w:val="21"/>
          </w:rPr>
        </w:pP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2YmVhNjBlYTk1ZGNiMjgxMjk0ODRjMmEwNmZmNmEifQ=="/>
  </w:docVars>
  <w:rsids>
    <w:rsidRoot w:val="14BF72F3"/>
    <w:rsid w:val="00001799"/>
    <w:rsid w:val="00043AB4"/>
    <w:rsid w:val="00054445"/>
    <w:rsid w:val="00054D49"/>
    <w:rsid w:val="000551DD"/>
    <w:rsid w:val="000553F1"/>
    <w:rsid w:val="00073413"/>
    <w:rsid w:val="0008251B"/>
    <w:rsid w:val="000C7A15"/>
    <w:rsid w:val="000D2EBA"/>
    <w:rsid w:val="000D7977"/>
    <w:rsid w:val="0013212C"/>
    <w:rsid w:val="00142614"/>
    <w:rsid w:val="00167CC6"/>
    <w:rsid w:val="001A3186"/>
    <w:rsid w:val="001A5538"/>
    <w:rsid w:val="001C1C77"/>
    <w:rsid w:val="001D0B87"/>
    <w:rsid w:val="001F674F"/>
    <w:rsid w:val="002417D5"/>
    <w:rsid w:val="00262B60"/>
    <w:rsid w:val="0028071E"/>
    <w:rsid w:val="002840AC"/>
    <w:rsid w:val="002A1900"/>
    <w:rsid w:val="002B2CEA"/>
    <w:rsid w:val="002D424E"/>
    <w:rsid w:val="002E16DC"/>
    <w:rsid w:val="002E5AA7"/>
    <w:rsid w:val="002F1F60"/>
    <w:rsid w:val="002F4E28"/>
    <w:rsid w:val="002F5891"/>
    <w:rsid w:val="002F7731"/>
    <w:rsid w:val="002F7FD6"/>
    <w:rsid w:val="0031110D"/>
    <w:rsid w:val="00324162"/>
    <w:rsid w:val="00376CAF"/>
    <w:rsid w:val="00380B0D"/>
    <w:rsid w:val="003B3C2F"/>
    <w:rsid w:val="003D3186"/>
    <w:rsid w:val="004059CA"/>
    <w:rsid w:val="004066B6"/>
    <w:rsid w:val="00414D93"/>
    <w:rsid w:val="004213B6"/>
    <w:rsid w:val="00427CF0"/>
    <w:rsid w:val="0043412F"/>
    <w:rsid w:val="00443D7B"/>
    <w:rsid w:val="00450ACA"/>
    <w:rsid w:val="00480962"/>
    <w:rsid w:val="004D4A58"/>
    <w:rsid w:val="004F6D51"/>
    <w:rsid w:val="005244D8"/>
    <w:rsid w:val="0054242B"/>
    <w:rsid w:val="00561C21"/>
    <w:rsid w:val="005654FA"/>
    <w:rsid w:val="00595388"/>
    <w:rsid w:val="005E4162"/>
    <w:rsid w:val="005E72F2"/>
    <w:rsid w:val="006259CA"/>
    <w:rsid w:val="006440EE"/>
    <w:rsid w:val="00646912"/>
    <w:rsid w:val="006762B3"/>
    <w:rsid w:val="00693962"/>
    <w:rsid w:val="006B18C5"/>
    <w:rsid w:val="006B684F"/>
    <w:rsid w:val="006D0299"/>
    <w:rsid w:val="006E7FD0"/>
    <w:rsid w:val="00737B5F"/>
    <w:rsid w:val="007555BD"/>
    <w:rsid w:val="0078327F"/>
    <w:rsid w:val="007A7E04"/>
    <w:rsid w:val="007B3F84"/>
    <w:rsid w:val="007E2F07"/>
    <w:rsid w:val="00817C78"/>
    <w:rsid w:val="00817DD8"/>
    <w:rsid w:val="00822039"/>
    <w:rsid w:val="008377F4"/>
    <w:rsid w:val="00873FC2"/>
    <w:rsid w:val="00887D30"/>
    <w:rsid w:val="008C26A9"/>
    <w:rsid w:val="008C7400"/>
    <w:rsid w:val="008E7CF0"/>
    <w:rsid w:val="00911B10"/>
    <w:rsid w:val="00914E60"/>
    <w:rsid w:val="00942C54"/>
    <w:rsid w:val="009440DE"/>
    <w:rsid w:val="00947F44"/>
    <w:rsid w:val="009719E9"/>
    <w:rsid w:val="00977505"/>
    <w:rsid w:val="00995150"/>
    <w:rsid w:val="009A1302"/>
    <w:rsid w:val="009A1F51"/>
    <w:rsid w:val="009C1D05"/>
    <w:rsid w:val="009C532C"/>
    <w:rsid w:val="009D47DE"/>
    <w:rsid w:val="009E0AAD"/>
    <w:rsid w:val="009E7DC1"/>
    <w:rsid w:val="009F10AE"/>
    <w:rsid w:val="00A47175"/>
    <w:rsid w:val="00A475C2"/>
    <w:rsid w:val="00A70231"/>
    <w:rsid w:val="00AC2978"/>
    <w:rsid w:val="00AC4946"/>
    <w:rsid w:val="00AC645D"/>
    <w:rsid w:val="00AD55B8"/>
    <w:rsid w:val="00AF4611"/>
    <w:rsid w:val="00B1576D"/>
    <w:rsid w:val="00B15868"/>
    <w:rsid w:val="00B42D1E"/>
    <w:rsid w:val="00B53021"/>
    <w:rsid w:val="00B6323E"/>
    <w:rsid w:val="00B751CA"/>
    <w:rsid w:val="00B7628C"/>
    <w:rsid w:val="00BA6BD7"/>
    <w:rsid w:val="00BA750B"/>
    <w:rsid w:val="00C00E49"/>
    <w:rsid w:val="00C254FC"/>
    <w:rsid w:val="00C427DF"/>
    <w:rsid w:val="00C4387A"/>
    <w:rsid w:val="00C45A00"/>
    <w:rsid w:val="00C63A02"/>
    <w:rsid w:val="00CB1250"/>
    <w:rsid w:val="00CB5626"/>
    <w:rsid w:val="00CC082A"/>
    <w:rsid w:val="00CE2973"/>
    <w:rsid w:val="00D25262"/>
    <w:rsid w:val="00D2749E"/>
    <w:rsid w:val="00D74BA8"/>
    <w:rsid w:val="00DB6D3D"/>
    <w:rsid w:val="00DC0F3E"/>
    <w:rsid w:val="00DD4A5D"/>
    <w:rsid w:val="00DE0DAD"/>
    <w:rsid w:val="00E20F4B"/>
    <w:rsid w:val="00E5616B"/>
    <w:rsid w:val="00E66BE9"/>
    <w:rsid w:val="00EA1709"/>
    <w:rsid w:val="00EB325F"/>
    <w:rsid w:val="00EB5FA3"/>
    <w:rsid w:val="00EC0500"/>
    <w:rsid w:val="00EE61C5"/>
    <w:rsid w:val="00EF0479"/>
    <w:rsid w:val="00EF1AA6"/>
    <w:rsid w:val="00F0454B"/>
    <w:rsid w:val="00F5247C"/>
    <w:rsid w:val="00F527A5"/>
    <w:rsid w:val="00F55838"/>
    <w:rsid w:val="00F70D3B"/>
    <w:rsid w:val="00FC28DA"/>
    <w:rsid w:val="00FD72C0"/>
    <w:rsid w:val="03FB510A"/>
    <w:rsid w:val="05235703"/>
    <w:rsid w:val="0535265D"/>
    <w:rsid w:val="05844DB0"/>
    <w:rsid w:val="07E53A5D"/>
    <w:rsid w:val="09AC4B2D"/>
    <w:rsid w:val="0B0E30C9"/>
    <w:rsid w:val="0BBA3070"/>
    <w:rsid w:val="0BD41866"/>
    <w:rsid w:val="0FE95114"/>
    <w:rsid w:val="102C2C1B"/>
    <w:rsid w:val="10A11F53"/>
    <w:rsid w:val="128D2C6C"/>
    <w:rsid w:val="13EC6E7E"/>
    <w:rsid w:val="14BF72F3"/>
    <w:rsid w:val="1C312367"/>
    <w:rsid w:val="1E645A78"/>
    <w:rsid w:val="1E9A276E"/>
    <w:rsid w:val="1FE135B3"/>
    <w:rsid w:val="25B2575C"/>
    <w:rsid w:val="25D9799B"/>
    <w:rsid w:val="27692EE2"/>
    <w:rsid w:val="2B4575C8"/>
    <w:rsid w:val="2B7C7B0B"/>
    <w:rsid w:val="2C4F49BC"/>
    <w:rsid w:val="2CBC4C3A"/>
    <w:rsid w:val="2DA141DC"/>
    <w:rsid w:val="2F6F4877"/>
    <w:rsid w:val="2F781B4B"/>
    <w:rsid w:val="30165496"/>
    <w:rsid w:val="338752E0"/>
    <w:rsid w:val="39935345"/>
    <w:rsid w:val="39F023D1"/>
    <w:rsid w:val="3B117FDA"/>
    <w:rsid w:val="416F3026"/>
    <w:rsid w:val="42171A10"/>
    <w:rsid w:val="427176D7"/>
    <w:rsid w:val="44AA27CC"/>
    <w:rsid w:val="44BC30DF"/>
    <w:rsid w:val="46257A35"/>
    <w:rsid w:val="46F97266"/>
    <w:rsid w:val="46FC6AF9"/>
    <w:rsid w:val="4AE95F37"/>
    <w:rsid w:val="4C3B15EC"/>
    <w:rsid w:val="4C4B5424"/>
    <w:rsid w:val="4E813A01"/>
    <w:rsid w:val="4E8E3E5F"/>
    <w:rsid w:val="4E9F78D7"/>
    <w:rsid w:val="50241B8C"/>
    <w:rsid w:val="51A84CDB"/>
    <w:rsid w:val="525C502D"/>
    <w:rsid w:val="5289703F"/>
    <w:rsid w:val="52A52D90"/>
    <w:rsid w:val="52B07FB4"/>
    <w:rsid w:val="52F96780"/>
    <w:rsid w:val="53D0455E"/>
    <w:rsid w:val="566C2DD1"/>
    <w:rsid w:val="56C64084"/>
    <w:rsid w:val="5BCD5B9E"/>
    <w:rsid w:val="5CA10ED4"/>
    <w:rsid w:val="5FCB5185"/>
    <w:rsid w:val="5FFB6AB4"/>
    <w:rsid w:val="606463EF"/>
    <w:rsid w:val="674601B9"/>
    <w:rsid w:val="678C45DF"/>
    <w:rsid w:val="678F6F74"/>
    <w:rsid w:val="6BAB3D8F"/>
    <w:rsid w:val="6D484B27"/>
    <w:rsid w:val="6D5D4693"/>
    <w:rsid w:val="6E111884"/>
    <w:rsid w:val="709C6129"/>
    <w:rsid w:val="737B4A16"/>
    <w:rsid w:val="746612FD"/>
    <w:rsid w:val="74931BBC"/>
    <w:rsid w:val="756D442B"/>
    <w:rsid w:val="7A9B4A23"/>
    <w:rsid w:val="7B750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37"/>
    <w:qFormat/>
    <w:uiPriority w:val="9"/>
    <w:pPr>
      <w:widowControl/>
      <w:jc w:val="left"/>
      <w:outlineLvl w:val="0"/>
    </w:pPr>
    <w:rPr>
      <w:rFonts w:ascii="宋体" w:hAnsi="宋体" w:eastAsia="宋体" w:cs="宋体"/>
      <w:b/>
      <w:bCs/>
      <w:kern w:val="36"/>
      <w:sz w:val="33"/>
      <w:szCs w:val="33"/>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jc w:val="left"/>
    </w:pPr>
    <w:rPr>
      <w:rFonts w:cs="宋体"/>
      <w:szCs w:val="32"/>
      <w:lang w:val="zh-CN"/>
    </w:rPr>
  </w:style>
  <w:style w:type="paragraph" w:styleId="3">
    <w:name w:val="Body Text First Indent"/>
    <w:basedOn w:val="2"/>
    <w:qFormat/>
    <w:uiPriority w:val="0"/>
    <w:pPr>
      <w:ind w:firstLine="420" w:firstLineChars="100"/>
    </w:pPr>
  </w:style>
  <w:style w:type="paragraph" w:styleId="5">
    <w:name w:val="annotation text"/>
    <w:basedOn w:val="1"/>
    <w:link w:val="34"/>
    <w:qFormat/>
    <w:uiPriority w:val="0"/>
    <w:pPr>
      <w:jc w:val="left"/>
    </w:pPr>
  </w:style>
  <w:style w:type="paragraph" w:styleId="6">
    <w:name w:val="Body Text Indent"/>
    <w:basedOn w:val="1"/>
    <w:qFormat/>
    <w:uiPriority w:val="99"/>
    <w:pPr>
      <w:spacing w:line="200" w:lineRule="exact"/>
      <w:ind w:firstLine="301"/>
    </w:pPr>
    <w:rPr>
      <w:rFonts w:ascii="宋体" w:hAnsi="Courier New"/>
      <w:spacing w:val="-4"/>
      <w:sz w:val="18"/>
      <w:szCs w:val="20"/>
    </w:rPr>
  </w:style>
  <w:style w:type="paragraph" w:styleId="7">
    <w:name w:val="Balloon Text"/>
    <w:basedOn w:val="1"/>
    <w:link w:val="36"/>
    <w:qFormat/>
    <w:uiPriority w:val="0"/>
    <w:rPr>
      <w:sz w:val="18"/>
      <w:szCs w:val="18"/>
    </w:rPr>
  </w:style>
  <w:style w:type="paragraph" w:styleId="8">
    <w:name w:val="footer"/>
    <w:basedOn w:val="1"/>
    <w:link w:val="27"/>
    <w:qFormat/>
    <w:uiPriority w:val="99"/>
    <w:pPr>
      <w:tabs>
        <w:tab w:val="center" w:pos="4153"/>
        <w:tab w:val="right" w:pos="8306"/>
      </w:tabs>
      <w:snapToGrid w:val="0"/>
      <w:jc w:val="left"/>
    </w:pPr>
    <w:rPr>
      <w:sz w:val="18"/>
    </w:rPr>
  </w:style>
  <w:style w:type="paragraph" w:styleId="9">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before="120" w:after="120"/>
      <w:jc w:val="left"/>
    </w:pPr>
    <w:rPr>
      <w:rFonts w:ascii="Times New Roman" w:hAnsi="Times New Roman" w:eastAsia="仿宋_GB2312" w:cs="Times New Roman"/>
      <w:b/>
      <w:bCs/>
      <w:caps/>
      <w:sz w:val="28"/>
      <w:szCs w:val="20"/>
    </w:rPr>
  </w:style>
  <w:style w:type="paragraph" w:styleId="11">
    <w:name w:val="footnote text"/>
    <w:basedOn w:val="1"/>
    <w:link w:val="32"/>
    <w:unhideWhenUsed/>
    <w:qFormat/>
    <w:uiPriority w:val="99"/>
    <w:pPr>
      <w:snapToGrid w:val="0"/>
      <w:jc w:val="left"/>
    </w:pPr>
    <w:rPr>
      <w:rFonts w:ascii="Times New Roman" w:hAnsi="Times New Roman" w:eastAsia="宋体" w:cs="Times New Roman"/>
      <w:kern w:val="0"/>
      <w:sz w:val="18"/>
      <w:szCs w:val="18"/>
    </w:rPr>
  </w:style>
  <w:style w:type="paragraph" w:styleId="12">
    <w:name w:val="toc 2"/>
    <w:basedOn w:val="1"/>
    <w:next w:val="1"/>
    <w:qFormat/>
    <w:uiPriority w:val="39"/>
    <w:pPr>
      <w:ind w:left="280"/>
      <w:jc w:val="left"/>
    </w:pPr>
    <w:rPr>
      <w:rFonts w:ascii="Times New Roman" w:hAnsi="Times New Roman" w:eastAsia="仿宋_GB2312" w:cs="Times New Roman"/>
      <w:smallCaps/>
      <w:sz w:val="28"/>
      <w:szCs w:val="20"/>
    </w:rPr>
  </w:style>
  <w:style w:type="paragraph" w:styleId="13">
    <w:name w:val="HTML Preformatted"/>
    <w:basedOn w:val="1"/>
    <w:link w:val="3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4">
    <w:name w:val="Normal (Web)"/>
    <w:basedOn w:val="1"/>
    <w:qFormat/>
    <w:uiPriority w:val="0"/>
    <w:pPr>
      <w:spacing w:beforeAutospacing="1" w:afterAutospacing="1"/>
      <w:jc w:val="left"/>
    </w:pPr>
    <w:rPr>
      <w:rFonts w:cs="Times New Roman"/>
      <w:kern w:val="0"/>
      <w:sz w:val="24"/>
    </w:rPr>
  </w:style>
  <w:style w:type="paragraph" w:styleId="15">
    <w:name w:val="annotation subject"/>
    <w:basedOn w:val="5"/>
    <w:next w:val="5"/>
    <w:link w:val="35"/>
    <w:qFormat/>
    <w:uiPriority w:val="0"/>
    <w:rPr>
      <w:b/>
      <w:bCs/>
    </w:rPr>
  </w:style>
  <w:style w:type="paragraph" w:styleId="16">
    <w:name w:val="Body Text First Indent 2"/>
    <w:basedOn w:val="6"/>
    <w:qFormat/>
    <w:uiPriority w:val="99"/>
    <w:pPr>
      <w:autoSpaceDE w:val="0"/>
      <w:autoSpaceDN w:val="0"/>
      <w:adjustRightInd w:val="0"/>
      <w:spacing w:after="120"/>
      <w:ind w:left="420" w:leftChars="200" w:firstLine="420" w:firstLineChars="200"/>
      <w:jc w:val="left"/>
    </w:pPr>
  </w:style>
  <w:style w:type="character" w:styleId="19">
    <w:name w:val="page number"/>
    <w:basedOn w:val="18"/>
    <w:qFormat/>
    <w:uiPriority w:val="0"/>
  </w:style>
  <w:style w:type="character" w:styleId="20">
    <w:name w:val="Hyperlink"/>
    <w:qFormat/>
    <w:uiPriority w:val="0"/>
    <w:rPr>
      <w:color w:val="0000FF"/>
      <w:u w:val="single"/>
    </w:rPr>
  </w:style>
  <w:style w:type="character" w:styleId="21">
    <w:name w:val="annotation reference"/>
    <w:unhideWhenUsed/>
    <w:qFormat/>
    <w:uiPriority w:val="99"/>
    <w:rPr>
      <w:sz w:val="21"/>
      <w:szCs w:val="21"/>
    </w:rPr>
  </w:style>
  <w:style w:type="character" w:styleId="22">
    <w:name w:val="footnote reference"/>
    <w:unhideWhenUsed/>
    <w:qFormat/>
    <w:uiPriority w:val="99"/>
    <w:rPr>
      <w:vertAlign w:val="superscript"/>
    </w:rPr>
  </w:style>
  <w:style w:type="paragraph" w:customStyle="1" w:styleId="23">
    <w:name w:val="p0"/>
    <w:basedOn w:val="1"/>
    <w:qFormat/>
    <w:uiPriority w:val="0"/>
    <w:pPr>
      <w:widowControl/>
    </w:pPr>
    <w:rPr>
      <w:rFonts w:ascii="Times New Roman" w:hAnsi="Times New Roman" w:eastAsia="宋体" w:cs="Times New Roman"/>
      <w:kern w:val="0"/>
      <w:szCs w:val="21"/>
    </w:rPr>
  </w:style>
  <w:style w:type="character" w:customStyle="1" w:styleId="24">
    <w:name w:val="text"/>
    <w:basedOn w:val="18"/>
    <w:qFormat/>
    <w:uiPriority w:val="0"/>
  </w:style>
  <w:style w:type="paragraph" w:customStyle="1" w:styleId="25">
    <w:name w:val="新正文"/>
    <w:basedOn w:val="1"/>
    <w:qFormat/>
    <w:uiPriority w:val="0"/>
    <w:pPr>
      <w:spacing w:before="60" w:line="460" w:lineRule="exact"/>
      <w:ind w:firstLine="200" w:firstLineChars="200"/>
    </w:pPr>
    <w:rPr>
      <w:rFonts w:ascii="Times New Roman" w:hAnsi="Times New Roman" w:eastAsia="宋体" w:cs="Times New Roman"/>
      <w:sz w:val="24"/>
      <w:szCs w:val="20"/>
    </w:rPr>
  </w:style>
  <w:style w:type="character" w:customStyle="1" w:styleId="26">
    <w:name w:val="页眉 Char"/>
    <w:basedOn w:val="18"/>
    <w:link w:val="9"/>
    <w:qFormat/>
    <w:uiPriority w:val="0"/>
    <w:rPr>
      <w:rFonts w:asciiTheme="minorHAnsi" w:hAnsiTheme="minorHAnsi" w:eastAsiaTheme="minorEastAsia" w:cstheme="minorBidi"/>
      <w:kern w:val="2"/>
      <w:sz w:val="18"/>
      <w:szCs w:val="18"/>
    </w:rPr>
  </w:style>
  <w:style w:type="character" w:customStyle="1" w:styleId="27">
    <w:name w:val="页脚 Char"/>
    <w:basedOn w:val="18"/>
    <w:link w:val="8"/>
    <w:qFormat/>
    <w:uiPriority w:val="99"/>
    <w:rPr>
      <w:rFonts w:asciiTheme="minorHAnsi" w:hAnsiTheme="minorHAnsi" w:eastAsiaTheme="minorEastAsia" w:cstheme="minorBidi"/>
      <w:kern w:val="2"/>
      <w:sz w:val="18"/>
      <w:szCs w:val="24"/>
    </w:rPr>
  </w:style>
  <w:style w:type="character" w:customStyle="1" w:styleId="28">
    <w:name w:val="正文缩进 Char Char"/>
    <w:qFormat/>
    <w:uiPriority w:val="0"/>
    <w:rPr>
      <w:rFonts w:eastAsia="仿宋_GB2312"/>
      <w:kern w:val="2"/>
      <w:sz w:val="28"/>
      <w:lang w:val="en-US" w:eastAsia="zh-CN"/>
    </w:rPr>
  </w:style>
  <w:style w:type="paragraph" w:customStyle="1" w:styleId="29">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30">
    <w:name w:val="List Paragraph"/>
    <w:basedOn w:val="1"/>
    <w:qFormat/>
    <w:uiPriority w:val="99"/>
    <w:pPr>
      <w:ind w:firstLine="420" w:firstLineChars="200"/>
    </w:pPr>
  </w:style>
  <w:style w:type="character" w:customStyle="1" w:styleId="31">
    <w:name w:val="HTML 预设格式 Char"/>
    <w:basedOn w:val="18"/>
    <w:link w:val="13"/>
    <w:qFormat/>
    <w:uiPriority w:val="0"/>
    <w:rPr>
      <w:rFonts w:ascii="宋体" w:hAnsi="宋体"/>
      <w:sz w:val="24"/>
      <w:szCs w:val="24"/>
    </w:rPr>
  </w:style>
  <w:style w:type="character" w:customStyle="1" w:styleId="32">
    <w:name w:val="脚注文本 Char"/>
    <w:link w:val="11"/>
    <w:qFormat/>
    <w:uiPriority w:val="99"/>
    <w:rPr>
      <w:sz w:val="18"/>
      <w:szCs w:val="18"/>
    </w:rPr>
  </w:style>
  <w:style w:type="character" w:customStyle="1" w:styleId="33">
    <w:name w:val="脚注文本 Char1"/>
    <w:basedOn w:val="18"/>
    <w:qFormat/>
    <w:uiPriority w:val="0"/>
    <w:rPr>
      <w:rFonts w:asciiTheme="minorHAnsi" w:hAnsiTheme="minorHAnsi" w:eastAsiaTheme="minorEastAsia" w:cstheme="minorBidi"/>
      <w:kern w:val="2"/>
      <w:sz w:val="18"/>
      <w:szCs w:val="18"/>
    </w:rPr>
  </w:style>
  <w:style w:type="character" w:customStyle="1" w:styleId="34">
    <w:name w:val="批注文字 Char"/>
    <w:basedOn w:val="18"/>
    <w:link w:val="5"/>
    <w:qFormat/>
    <w:uiPriority w:val="0"/>
    <w:rPr>
      <w:rFonts w:asciiTheme="minorHAnsi" w:hAnsiTheme="minorHAnsi" w:eastAsiaTheme="minorEastAsia" w:cstheme="minorBidi"/>
      <w:kern w:val="2"/>
      <w:sz w:val="21"/>
      <w:szCs w:val="24"/>
    </w:rPr>
  </w:style>
  <w:style w:type="character" w:customStyle="1" w:styleId="35">
    <w:name w:val="批注主题 Char"/>
    <w:basedOn w:val="34"/>
    <w:link w:val="15"/>
    <w:qFormat/>
    <w:uiPriority w:val="0"/>
    <w:rPr>
      <w:rFonts w:asciiTheme="minorHAnsi" w:hAnsiTheme="minorHAnsi" w:eastAsiaTheme="minorEastAsia" w:cstheme="minorBidi"/>
      <w:b/>
      <w:bCs/>
      <w:kern w:val="2"/>
      <w:sz w:val="21"/>
      <w:szCs w:val="24"/>
    </w:rPr>
  </w:style>
  <w:style w:type="character" w:customStyle="1" w:styleId="36">
    <w:name w:val="批注框文本 Char"/>
    <w:basedOn w:val="18"/>
    <w:link w:val="7"/>
    <w:qFormat/>
    <w:uiPriority w:val="0"/>
    <w:rPr>
      <w:rFonts w:asciiTheme="minorHAnsi" w:hAnsiTheme="minorHAnsi" w:eastAsiaTheme="minorEastAsia" w:cstheme="minorBidi"/>
      <w:kern w:val="2"/>
      <w:sz w:val="18"/>
      <w:szCs w:val="18"/>
    </w:rPr>
  </w:style>
  <w:style w:type="character" w:customStyle="1" w:styleId="37">
    <w:name w:val="标题 1 Char"/>
    <w:basedOn w:val="18"/>
    <w:link w:val="4"/>
    <w:qFormat/>
    <w:uiPriority w:val="9"/>
    <w:rPr>
      <w:rFonts w:ascii="宋体" w:hAnsi="宋体" w:cs="宋体"/>
      <w:b/>
      <w:bCs/>
      <w:kern w:val="36"/>
      <w:sz w:val="33"/>
      <w:szCs w:val="33"/>
    </w:rPr>
  </w:style>
  <w:style w:type="paragraph" w:customStyle="1" w:styleId="38">
    <w:name w:val="xixi_text"/>
    <w:basedOn w:val="1"/>
    <w:qFormat/>
    <w:uiPriority w:val="0"/>
    <w:pPr>
      <w:widowControl/>
      <w:jc w:val="left"/>
    </w:pPr>
    <w:rPr>
      <w:rFonts w:ascii="宋体" w:hAnsi="宋体" w:eastAsia="宋体" w:cs="宋体"/>
      <w:kern w:val="0"/>
      <w:sz w:val="24"/>
    </w:rPr>
  </w:style>
  <w:style w:type="paragraph" w:customStyle="1" w:styleId="39">
    <w:name w:val="xixi_text_jd"/>
    <w:basedOn w:val="1"/>
    <w:qFormat/>
    <w:uiPriority w:val="0"/>
    <w:pPr>
      <w:widowControl/>
      <w:jc w:val="left"/>
    </w:pPr>
    <w:rPr>
      <w:rFonts w:ascii="宋体" w:hAnsi="宋体" w:eastAsia="宋体" w:cs="宋体"/>
      <w:kern w:val="0"/>
      <w:sz w:val="24"/>
    </w:rPr>
  </w:style>
  <w:style w:type="paragraph" w:customStyle="1" w:styleId="40">
    <w:name w:val="zt_text"/>
    <w:basedOn w:val="1"/>
    <w:qFormat/>
    <w:uiPriority w:val="0"/>
    <w:pPr>
      <w:widowControl/>
      <w:jc w:val="left"/>
    </w:pPr>
    <w:rPr>
      <w:rFonts w:ascii="宋体" w:hAnsi="宋体" w:eastAsia="宋体" w:cs="宋体"/>
      <w:kern w:val="0"/>
      <w:sz w:val="24"/>
    </w:rPr>
  </w:style>
  <w:style w:type="paragraph" w:customStyle="1" w:styleId="41">
    <w:name w:val="cb_text"/>
    <w:basedOn w:val="1"/>
    <w:qFormat/>
    <w:uiPriority w:val="0"/>
    <w:pPr>
      <w:widowControl/>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A8959-FFA1-45FA-9143-D3A4605056B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25</Pages>
  <Words>12937</Words>
  <Characters>13695</Characters>
  <Lines>120</Lines>
  <Paragraphs>33</Paragraphs>
  <TotalTime>982</TotalTime>
  <ScaleCrop>false</ScaleCrop>
  <LinksUpToDate>false</LinksUpToDate>
  <CharactersWithSpaces>13705</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2020-12-02T02:27:00Z</dcterms:created>
  <dc:creator>verina</dc:creator>
  <cp:lastModifiedBy>wb_guobin6</cp:lastModifiedBy>
  <cp:lastPrinted>2020-12-16T06:26:00Z</cp:lastPrinted>
  <dcterms:modified xsi:type="dcterms:W3CDTF">2025-12-01T01:37:55Z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34DC2BBF545D4431BF8E1D32297B3662</vt:lpwstr>
  </property>
</Properties>
</file>